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2CC" w:rsidRPr="00193A59" w:rsidRDefault="00C942CC" w:rsidP="00C942CC">
      <w:pPr>
        <w:pStyle w:val="ConsTitle"/>
        <w:jc w:val="center"/>
        <w:rPr>
          <w:rFonts w:ascii="Times New Roman" w:hAnsi="Times New Roman" w:cs="Times New Roman"/>
          <w:sz w:val="24"/>
          <w:szCs w:val="24"/>
        </w:rPr>
      </w:pPr>
      <w:r w:rsidRPr="00193A59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695943">
        <w:rPr>
          <w:rFonts w:ascii="Times New Roman" w:hAnsi="Times New Roman" w:cs="Times New Roman"/>
          <w:sz w:val="24"/>
          <w:szCs w:val="24"/>
        </w:rPr>
        <w:t xml:space="preserve">ДВИЖИМОГО ИМУЩЕСТВА </w:t>
      </w:r>
      <w:r w:rsidRPr="00193A59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C942CC" w:rsidRPr="00193A59" w:rsidRDefault="00C942CC" w:rsidP="00C942CC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42CC" w:rsidRPr="00193A59" w:rsidRDefault="00C942CC" w:rsidP="00C942CC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C942CC" w:rsidRPr="00193A59" w:rsidRDefault="00C942CC" w:rsidP="00C942CC">
      <w:pPr>
        <w:pStyle w:val="Con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A59">
        <w:rPr>
          <w:rFonts w:ascii="Times New Roman" w:hAnsi="Times New Roman" w:cs="Times New Roman"/>
          <w:b/>
          <w:sz w:val="24"/>
          <w:szCs w:val="24"/>
        </w:rPr>
        <w:t xml:space="preserve">г. Санкт-Петербург                                                                                      </w:t>
      </w:r>
      <w:proofErr w:type="gramStart"/>
      <w:r w:rsidRPr="00193A59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Pr="00193A59">
        <w:rPr>
          <w:rFonts w:ascii="Times New Roman" w:hAnsi="Times New Roman" w:cs="Times New Roman"/>
          <w:b/>
          <w:sz w:val="24"/>
          <w:szCs w:val="24"/>
        </w:rPr>
        <w:t xml:space="preserve">___» _________ </w:t>
      </w:r>
      <w:r w:rsidR="00695943" w:rsidRPr="00193A59">
        <w:rPr>
          <w:rFonts w:ascii="Times New Roman" w:hAnsi="Times New Roman" w:cs="Times New Roman"/>
          <w:b/>
          <w:sz w:val="24"/>
          <w:szCs w:val="24"/>
        </w:rPr>
        <w:t>201</w:t>
      </w:r>
      <w:r w:rsidR="00695943" w:rsidRPr="009F1454">
        <w:rPr>
          <w:rFonts w:ascii="Times New Roman" w:hAnsi="Times New Roman" w:cs="Times New Roman"/>
          <w:b/>
          <w:sz w:val="24"/>
          <w:szCs w:val="24"/>
        </w:rPr>
        <w:t>7</w:t>
      </w:r>
      <w:r w:rsidR="00695943" w:rsidRPr="00193A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42CC" w:rsidRPr="00193A59" w:rsidRDefault="00C942CC" w:rsidP="00C942CC">
      <w:pPr>
        <w:pStyle w:val="11"/>
        <w:ind w:firstLine="540"/>
        <w:jc w:val="both"/>
        <w:rPr>
          <w:rFonts w:ascii="Times New Roman" w:hAnsi="Times New Roman"/>
          <w:sz w:val="24"/>
        </w:rPr>
      </w:pPr>
      <w:r w:rsidRPr="00193A59">
        <w:rPr>
          <w:rFonts w:ascii="Times New Roman" w:hAnsi="Times New Roman"/>
          <w:sz w:val="24"/>
        </w:rPr>
        <w:t xml:space="preserve">     </w:t>
      </w:r>
    </w:p>
    <w:p w:rsidR="00C942CC" w:rsidRPr="00193A59" w:rsidRDefault="00C942CC" w:rsidP="006C4A28">
      <w:pPr>
        <w:pStyle w:val="11"/>
        <w:ind w:firstLine="540"/>
        <w:jc w:val="both"/>
        <w:rPr>
          <w:rFonts w:ascii="Times New Roman" w:hAnsi="Times New Roman"/>
          <w:sz w:val="24"/>
        </w:rPr>
      </w:pPr>
      <w:r w:rsidRPr="00193A59">
        <w:rPr>
          <w:rFonts w:ascii="Times New Roman" w:hAnsi="Times New Roman"/>
          <w:b/>
          <w:sz w:val="24"/>
        </w:rPr>
        <w:t xml:space="preserve">Открытое акционерное общество «Комплект», </w:t>
      </w:r>
      <w:r w:rsidRPr="00193A59">
        <w:rPr>
          <w:rFonts w:ascii="Times New Roman" w:hAnsi="Times New Roman"/>
          <w:sz w:val="24"/>
        </w:rPr>
        <w:t>в лице</w:t>
      </w:r>
      <w:r w:rsidRPr="00193A59">
        <w:rPr>
          <w:rFonts w:ascii="Times New Roman" w:hAnsi="Times New Roman"/>
          <w:b/>
          <w:sz w:val="24"/>
        </w:rPr>
        <w:t xml:space="preserve"> </w:t>
      </w:r>
      <w:r w:rsidRPr="00193A59">
        <w:rPr>
          <w:rFonts w:ascii="Times New Roman" w:hAnsi="Times New Roman"/>
          <w:bCs/>
          <w:iCs/>
          <w:spacing w:val="-9"/>
          <w:sz w:val="24"/>
        </w:rPr>
        <w:t xml:space="preserve">конкурсного управляющего Яковенко Ивана Андреевича, действующего на основании </w:t>
      </w:r>
      <w:r w:rsidR="00FB721B" w:rsidRPr="00193A59">
        <w:rPr>
          <w:rFonts w:ascii="Times New Roman" w:hAnsi="Times New Roman"/>
          <w:bCs/>
          <w:iCs/>
          <w:spacing w:val="-9"/>
          <w:sz w:val="24"/>
        </w:rPr>
        <w:t xml:space="preserve">Определения </w:t>
      </w:r>
      <w:r w:rsidRPr="00193A59">
        <w:rPr>
          <w:rFonts w:ascii="Times New Roman" w:hAnsi="Times New Roman"/>
          <w:bCs/>
          <w:iCs/>
          <w:spacing w:val="-9"/>
          <w:sz w:val="24"/>
        </w:rPr>
        <w:t xml:space="preserve">Арбитражного суда Санкт-Петербурга и Ленинградской области </w:t>
      </w:r>
      <w:r w:rsidRPr="00193A59">
        <w:rPr>
          <w:rFonts w:ascii="Times New Roman" w:hAnsi="Times New Roman"/>
          <w:sz w:val="24"/>
        </w:rPr>
        <w:t>№ А56-81135/2009 от 05.05.2015 г.</w:t>
      </w:r>
      <w:r w:rsidRPr="00193A59">
        <w:rPr>
          <w:rFonts w:ascii="Times New Roman" w:hAnsi="Times New Roman"/>
          <w:bCs/>
          <w:iCs/>
          <w:spacing w:val="-9"/>
          <w:sz w:val="24"/>
        </w:rPr>
        <w:t xml:space="preserve">, именуемое в дальнейшем </w:t>
      </w:r>
      <w:r w:rsidRPr="00193A59">
        <w:rPr>
          <w:rFonts w:ascii="Times New Roman" w:hAnsi="Times New Roman"/>
          <w:b/>
          <w:sz w:val="24"/>
        </w:rPr>
        <w:t>«Продавец»</w:t>
      </w:r>
      <w:r w:rsidRPr="00193A59">
        <w:rPr>
          <w:rFonts w:ascii="Times New Roman" w:hAnsi="Times New Roman"/>
          <w:bCs/>
          <w:spacing w:val="-7"/>
          <w:sz w:val="24"/>
        </w:rPr>
        <w:t xml:space="preserve">, </w:t>
      </w:r>
      <w:r w:rsidRPr="00193A59">
        <w:rPr>
          <w:rFonts w:ascii="Times New Roman" w:hAnsi="Times New Roman"/>
          <w:sz w:val="24"/>
        </w:rPr>
        <w:t>с одной стороны, и</w:t>
      </w:r>
    </w:p>
    <w:p w:rsidR="00FB721B" w:rsidRPr="00193A59" w:rsidRDefault="00C942CC" w:rsidP="006C4A28">
      <w:pPr>
        <w:pStyle w:val="11"/>
        <w:ind w:firstLine="540"/>
        <w:jc w:val="both"/>
        <w:rPr>
          <w:rFonts w:ascii="Times New Roman" w:hAnsi="Times New Roman"/>
          <w:sz w:val="24"/>
        </w:rPr>
      </w:pPr>
      <w:r w:rsidRPr="00193A59">
        <w:rPr>
          <w:rFonts w:ascii="Times New Roman" w:hAnsi="Times New Roman"/>
          <w:b/>
          <w:sz w:val="24"/>
        </w:rPr>
        <w:t xml:space="preserve">__________________________________________________________________________________, </w:t>
      </w:r>
      <w:r w:rsidRPr="00193A59">
        <w:rPr>
          <w:rFonts w:ascii="Times New Roman" w:hAnsi="Times New Roman"/>
          <w:sz w:val="24"/>
        </w:rPr>
        <w:t>в лице _____________________________________________ действующего на основании ______________________________________________________________,</w:t>
      </w:r>
      <w:r w:rsidR="00FB721B" w:rsidRPr="00193A59">
        <w:rPr>
          <w:rFonts w:ascii="Times New Roman" w:hAnsi="Times New Roman"/>
          <w:sz w:val="24"/>
        </w:rPr>
        <w:t xml:space="preserve"> именуемый в дальнейшем </w:t>
      </w:r>
      <w:r w:rsidR="00FB721B" w:rsidRPr="00193A59">
        <w:rPr>
          <w:rFonts w:ascii="Times New Roman" w:hAnsi="Times New Roman"/>
          <w:b/>
          <w:sz w:val="24"/>
        </w:rPr>
        <w:t>«Покупатель»,</w:t>
      </w:r>
      <w:r w:rsidRPr="00193A59">
        <w:rPr>
          <w:rFonts w:ascii="Times New Roman" w:hAnsi="Times New Roman"/>
          <w:sz w:val="24"/>
        </w:rPr>
        <w:t xml:space="preserve"> с другой стороны</w:t>
      </w:r>
      <w:r w:rsidR="00FB721B" w:rsidRPr="00193A59">
        <w:rPr>
          <w:rFonts w:ascii="Times New Roman" w:hAnsi="Times New Roman"/>
          <w:sz w:val="24"/>
        </w:rPr>
        <w:t>,</w:t>
      </w:r>
    </w:p>
    <w:p w:rsidR="00C942CC" w:rsidRDefault="00FB721B" w:rsidP="006C4A28">
      <w:pPr>
        <w:pStyle w:val="11"/>
        <w:ind w:firstLine="540"/>
        <w:jc w:val="both"/>
        <w:rPr>
          <w:rFonts w:ascii="Times New Roman" w:hAnsi="Times New Roman"/>
          <w:sz w:val="24"/>
        </w:rPr>
      </w:pPr>
      <w:r w:rsidRPr="00193A59">
        <w:rPr>
          <w:rFonts w:ascii="Times New Roman" w:hAnsi="Times New Roman"/>
          <w:sz w:val="24"/>
        </w:rPr>
        <w:t>при совместном упоминании именуемые «</w:t>
      </w:r>
      <w:r w:rsidRPr="00193A59">
        <w:rPr>
          <w:rFonts w:ascii="Times New Roman" w:hAnsi="Times New Roman"/>
          <w:b/>
          <w:sz w:val="24"/>
        </w:rPr>
        <w:t>Стороны</w:t>
      </w:r>
      <w:r w:rsidRPr="00193A59">
        <w:rPr>
          <w:rFonts w:ascii="Times New Roman" w:hAnsi="Times New Roman"/>
          <w:sz w:val="24"/>
        </w:rPr>
        <w:t>»</w:t>
      </w:r>
    </w:p>
    <w:p w:rsidR="00983FAE" w:rsidRDefault="00983FAE" w:rsidP="006C4A28">
      <w:pPr>
        <w:pStyle w:val="11"/>
        <w:ind w:firstLine="54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983FAE" w:rsidRPr="00983FAE" w:rsidRDefault="00983FAE" w:rsidP="006C4A2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3FAE">
        <w:rPr>
          <w:rFonts w:ascii="Times New Roman" w:hAnsi="Times New Roman" w:cs="Times New Roman"/>
          <w:sz w:val="24"/>
          <w:szCs w:val="24"/>
        </w:rPr>
        <w:t>принимая во внимание, что:</w:t>
      </w:r>
    </w:p>
    <w:p w:rsidR="00983FAE" w:rsidRPr="00983FAE" w:rsidRDefault="00983FAE" w:rsidP="006C4A2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3FAE">
        <w:rPr>
          <w:rFonts w:ascii="Times New Roman" w:hAnsi="Times New Roman" w:cs="Times New Roman"/>
          <w:sz w:val="24"/>
          <w:szCs w:val="24"/>
        </w:rPr>
        <w:t>–  настоящий</w:t>
      </w:r>
      <w:proofErr w:type="gramEnd"/>
      <w:r w:rsidRPr="00983FAE">
        <w:rPr>
          <w:rFonts w:ascii="Times New Roman" w:hAnsi="Times New Roman" w:cs="Times New Roman"/>
          <w:sz w:val="24"/>
          <w:szCs w:val="24"/>
        </w:rPr>
        <w:t xml:space="preserve"> договор заключен по результатам торгов, состоявшихся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FAE">
        <w:rPr>
          <w:rFonts w:ascii="Times New Roman" w:hAnsi="Times New Roman" w:cs="Times New Roman"/>
          <w:sz w:val="24"/>
          <w:szCs w:val="24"/>
        </w:rPr>
        <w:t>«__» ______ 2017 г., для реализации имущества Продавца, в соответствии с сообщением о проведении торгов, опубликованным в газете «Коммерсантъ» № 220 (5970) от  26 ноября 2016 (объявление № ________) (далее - Сообщение);</w:t>
      </w:r>
    </w:p>
    <w:p w:rsidR="00983FAE" w:rsidRPr="00983FAE" w:rsidRDefault="00983FAE" w:rsidP="006C4A28">
      <w:pPr>
        <w:numPr>
          <w:ilvl w:val="0"/>
          <w:numId w:val="2"/>
        </w:numPr>
        <w:suppressAutoHyphens/>
        <w:spacing w:after="0" w:line="240" w:lineRule="auto"/>
        <w:ind w:left="0"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3FAE">
        <w:rPr>
          <w:rFonts w:ascii="Times New Roman" w:hAnsi="Times New Roman" w:cs="Times New Roman"/>
          <w:sz w:val="24"/>
          <w:szCs w:val="24"/>
        </w:rPr>
        <w:t>Покупатель принял участие в состоявшихся «__» ______ 2017 г. торгах, был признан победителем торгов по продаже имущества Продавца;</w:t>
      </w:r>
    </w:p>
    <w:p w:rsidR="00983FAE" w:rsidRPr="00983FAE" w:rsidRDefault="00983FAE" w:rsidP="006C4A28">
      <w:pPr>
        <w:pStyle w:val="11"/>
        <w:ind w:firstLine="540"/>
        <w:jc w:val="both"/>
        <w:rPr>
          <w:rFonts w:ascii="Times New Roman" w:hAnsi="Times New Roman"/>
          <w:sz w:val="24"/>
        </w:rPr>
      </w:pPr>
    </w:p>
    <w:p w:rsidR="00C942CC" w:rsidRPr="00193A59" w:rsidRDefault="00C942CC" w:rsidP="006C4A2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A59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C942CC" w:rsidRPr="00193A59" w:rsidRDefault="00C942CC" w:rsidP="00C942CC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C942CC" w:rsidRPr="00193A59" w:rsidRDefault="00C942CC" w:rsidP="00C942CC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A59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C942CC" w:rsidRPr="009F1454" w:rsidRDefault="00C942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A59">
        <w:rPr>
          <w:rFonts w:ascii="Times New Roman" w:hAnsi="Times New Roman" w:cs="Times New Roman"/>
          <w:sz w:val="24"/>
          <w:szCs w:val="24"/>
        </w:rPr>
        <w:t xml:space="preserve">1.1. </w:t>
      </w:r>
      <w:r w:rsidRPr="001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принять и оплатить следующее имущество (далее – </w:t>
      </w:r>
      <w:r w:rsidR="00FB7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93A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Имущество</w:t>
      </w:r>
      <w:r w:rsidR="00FB7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находящееся в собственности ОАО «Комплект»: </w:t>
      </w:r>
      <w:r w:rsidR="00695943" w:rsidRPr="009F1454">
        <w:rPr>
          <w:rFonts w:ascii="Times New Roman" w:hAnsi="Times New Roman" w:cs="Times New Roman"/>
          <w:sz w:val="24"/>
          <w:szCs w:val="24"/>
        </w:rPr>
        <w:t xml:space="preserve">Движимое имущество ОАО «Комплект» в составе: Анкерное крепление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Rehau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(31500 шт.), анкерное крепление SCHUCO (35500 шт.), ось для петли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ввертной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Л321-00-001 (320000 шт.), петля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ввертная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оцинкованная с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баутом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ПВв-2 М8х2 Л283 (63000 шт.), петля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ввертная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оцинкованная без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баута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ПВв-2 М8х2 Л283 (24000 шт.), газопровод среднего давления к производственной линии, монитор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Samsung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SyncMaster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551s, монитор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Samsung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SyncMaster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3Ne, монитор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Samsung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SyncMaster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783df, монитор CTX EX700fPLUS, монитор CTX VL700, монитор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Sonic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E70f, монитор LG FLATRON F700B, монитор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PCXAV-TZ, принтер HP C 4224A, сканер HP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SCANJet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3400C, телефон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Ericsson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dialog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4220, системные блоки без маркировки разукомплектованные, компрессор винтовой SSR MM75 8288394, котел PREXTHER M-470, навес для цеха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жестетары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, резьбонакатный станок A2418A, станок отрезной электроискровой СВЭИ-7, таль электрическая грузоподъемность 5т ТЭ-5000, трансформатор ТМ320/6-0,4 У/У, упаковочный аппарат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Rotoplat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506/PFS, холодно-высадочный автомат А1216,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электропогрузчик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FB 20, пресс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однокривошипный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КД2126 (3 шт.), пресс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однокривошипный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КД2128К (2 шт.), пресс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однокривошипный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КД 2322 Г1, пресс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однокривошипный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КД 2322 Г11, станок резьбонакатной А2418А, станок токарно- карусельный 1Л531Движимое имущество ОАО «Комплект» в составе: Анкерное крепление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Rehau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(31500 шт.), анкерное крепление SCHUCO (35500 шт.), ось для петли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ввертной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Л321-00-001 (320000 шт.), петля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ввертная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оцинкованная с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баутом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ПВв-2 М8х2 Л283 (63000 шт.), петля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ввертная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оцинкованная без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баута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ПВв-2 М8х2 Л283 (24000 шт.), газопровод среднего давления к производственной линии, монитор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Samsung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SyncMaster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551s, монитор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Samsung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SyncMaster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3Ne, монитор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Samsung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SyncMaster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783df, монитор CTX EX700fPLUS, монитор CTX VL700, монитор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Sonic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E70f, монитор LG FLATRON F700B, монитор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PCXAV-TZ, принтер HP C 4224A, сканер HP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SCANJet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3400C, телефон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Ericsson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dialog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4220, системные блоки без маркировки разукомплектованные, компрессор винтовой SSR MM75 </w:t>
      </w:r>
      <w:r w:rsidR="00695943" w:rsidRPr="009F1454">
        <w:rPr>
          <w:rFonts w:ascii="Times New Roman" w:hAnsi="Times New Roman" w:cs="Times New Roman"/>
          <w:sz w:val="24"/>
          <w:szCs w:val="24"/>
        </w:rPr>
        <w:lastRenderedPageBreak/>
        <w:t xml:space="preserve">8288394, котел PREXTHER M-470, навес для цеха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жестетары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, резьбонакатный станок A2418A, станок отрезной электроискровой СВЭИ-7, таль электрическая грузоподъемность 5т ТЭ-5000, трансформатор ТМ320/6-0,4 У/У, упаковочный аппарат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Rotoplat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506/PFS, холодно-высадочный автомат А1216,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электропогрузчик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FB 20, пресс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однокривошипный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КД2126 (3 шт.), пресс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однокривошипный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КД2128К (2 шт.), пресс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однокривошипный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КД 2322 Г1, пресс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однокривошипный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КД 2322 Г11, станок резьбонакатной А2418А, станок токарно- карусельный 1Л531- Движимое имущество ОАО «Комплект» в составе: Анкерное крепление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Rehau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(31500 шт.), анкерное крепление SCHUCO (35500 шт.), ось для петли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ввертной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Л321-00-001 (320000 шт.), петля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ввертная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оцинкованная с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баутом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ПВв-2 М8х2 Л283 (63000 шт.), петля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ввертная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оцинкованная без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баута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ПВв-2 М8х2 Л283 (24000 шт.), газопровод среднего давления к производственной линии, монитор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Samsung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SyncMaster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551s, монитор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Samsung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SyncMaster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3Ne, монитор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Samsung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SyncMaster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783df, монитор CTX EX700fPLUS, монитор CTX VL700, монитор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Sonic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E70f, монитор LG FLATRON F700B, монитор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PCXAV-TZ, принтер HP C 4224A, сканер HP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SCANJet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3400C, телефон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Ericsson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dialog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4220, системные блоки без маркировки разукомплектованные, компрессор винтовой SSR MM75 8288394, котел PREXTHER M-470, навес для цеха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жестетары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, резьбонакатный станок A2418A, станок отрезной электроискровой СВЭИ-7, таль электрическая грузоподъемность 5т ТЭ-5000, трансформатор ТМ320/6-0,4 У/У, упаковочный аппарат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Rotoplat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506/PFS, холодно-высадочный автомат А1216,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электропогрузчик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FB 20, пресс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однокривошипный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КД2126 (3 шт.), пресс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однокривошипный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КД2128К (2 шт.), пресс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однокривошипный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КД 2322 Г1, пресс </w:t>
      </w:r>
      <w:proofErr w:type="spellStart"/>
      <w:r w:rsidR="00695943" w:rsidRPr="009F1454">
        <w:rPr>
          <w:rFonts w:ascii="Times New Roman" w:hAnsi="Times New Roman" w:cs="Times New Roman"/>
          <w:sz w:val="24"/>
          <w:szCs w:val="24"/>
        </w:rPr>
        <w:t>однокривошипный</w:t>
      </w:r>
      <w:proofErr w:type="spellEnd"/>
      <w:r w:rsidR="00695943" w:rsidRPr="009F1454">
        <w:rPr>
          <w:rFonts w:ascii="Times New Roman" w:hAnsi="Times New Roman" w:cs="Times New Roman"/>
          <w:sz w:val="24"/>
          <w:szCs w:val="24"/>
        </w:rPr>
        <w:t xml:space="preserve"> КД 2322 Г11, станок резьбонакатной А2418А, станок токарно- карусельный 1Л531 (далее – «Имущество»)</w:t>
      </w:r>
    </w:p>
    <w:p w:rsidR="00375FA1" w:rsidRPr="00193A59" w:rsidRDefault="00375FA1" w:rsidP="00C942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 </w:t>
      </w:r>
      <w:r w:rsidRPr="00193A59">
        <w:rPr>
          <w:rFonts w:ascii="Times New Roman" w:hAnsi="Times New Roman" w:cs="Times New Roman"/>
          <w:sz w:val="24"/>
          <w:szCs w:val="24"/>
        </w:rPr>
        <w:t>Имущество передается Покупателю в состоянии, отраженном в отчете об оценке рыночной стоимости движимого имущества №</w:t>
      </w:r>
      <w:r w:rsidR="00695943" w:rsidRPr="00193A59">
        <w:rPr>
          <w:rFonts w:ascii="Times New Roman" w:hAnsi="Times New Roman" w:cs="Times New Roman"/>
          <w:sz w:val="24"/>
          <w:szCs w:val="24"/>
        </w:rPr>
        <w:t>9</w:t>
      </w:r>
      <w:r w:rsidR="00695943">
        <w:rPr>
          <w:rFonts w:ascii="Times New Roman" w:hAnsi="Times New Roman" w:cs="Times New Roman"/>
          <w:sz w:val="24"/>
          <w:szCs w:val="24"/>
        </w:rPr>
        <w:t>50</w:t>
      </w:r>
      <w:r w:rsidRPr="00193A59">
        <w:rPr>
          <w:rFonts w:ascii="Times New Roman" w:hAnsi="Times New Roman" w:cs="Times New Roman"/>
          <w:sz w:val="24"/>
          <w:szCs w:val="24"/>
        </w:rPr>
        <w:t>/16</w:t>
      </w:r>
      <w:r w:rsidR="00695943">
        <w:rPr>
          <w:rFonts w:ascii="Times New Roman" w:hAnsi="Times New Roman" w:cs="Times New Roman"/>
          <w:sz w:val="24"/>
          <w:szCs w:val="24"/>
        </w:rPr>
        <w:t>-2</w:t>
      </w:r>
      <w:r w:rsidRPr="00193A59">
        <w:rPr>
          <w:rFonts w:ascii="Times New Roman" w:hAnsi="Times New Roman" w:cs="Times New Roman"/>
          <w:sz w:val="24"/>
          <w:szCs w:val="24"/>
        </w:rPr>
        <w:t xml:space="preserve"> от </w:t>
      </w:r>
      <w:r w:rsidR="00695943">
        <w:rPr>
          <w:rFonts w:ascii="Times New Roman" w:hAnsi="Times New Roman" w:cs="Times New Roman"/>
          <w:sz w:val="24"/>
          <w:szCs w:val="24"/>
        </w:rPr>
        <w:t>09</w:t>
      </w:r>
      <w:r w:rsidRPr="00193A59">
        <w:rPr>
          <w:rFonts w:ascii="Times New Roman" w:hAnsi="Times New Roman" w:cs="Times New Roman"/>
          <w:sz w:val="24"/>
          <w:szCs w:val="24"/>
        </w:rPr>
        <w:t>.</w:t>
      </w:r>
      <w:r w:rsidR="00695943">
        <w:rPr>
          <w:rFonts w:ascii="Times New Roman" w:hAnsi="Times New Roman" w:cs="Times New Roman"/>
          <w:sz w:val="24"/>
          <w:szCs w:val="24"/>
        </w:rPr>
        <w:t>11</w:t>
      </w:r>
      <w:r w:rsidRPr="00193A59">
        <w:rPr>
          <w:rFonts w:ascii="Times New Roman" w:hAnsi="Times New Roman" w:cs="Times New Roman"/>
          <w:sz w:val="24"/>
          <w:szCs w:val="24"/>
        </w:rPr>
        <w:t xml:space="preserve">.2016. </w:t>
      </w:r>
    </w:p>
    <w:p w:rsidR="00C942CC" w:rsidRPr="00193A59" w:rsidRDefault="00C942CC" w:rsidP="00C942CC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C942CC" w:rsidRPr="00193A59" w:rsidRDefault="00C942CC" w:rsidP="00C942CC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A59">
        <w:rPr>
          <w:rFonts w:ascii="Times New Roman" w:hAnsi="Times New Roman" w:cs="Times New Roman"/>
          <w:b/>
          <w:sz w:val="24"/>
          <w:szCs w:val="24"/>
        </w:rPr>
        <w:t>2. ОПЛАТА ИМУЩЕСТВА</w:t>
      </w:r>
    </w:p>
    <w:p w:rsidR="00C942CC" w:rsidRPr="00FB721B" w:rsidRDefault="00C942CC" w:rsidP="00C942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42CC" w:rsidRPr="00193A59" w:rsidRDefault="00C942CC" w:rsidP="0067401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Установленная по итогам </w:t>
      </w:r>
      <w:r w:rsidR="009E2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Торгов, </w:t>
      </w:r>
      <w:proofErr w:type="gramStart"/>
      <w:r w:rsidR="009E2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состоявшихся </w:t>
      </w:r>
      <w:r w:rsidR="009E2B01" w:rsidRPr="001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</w:t>
      </w:r>
      <w:proofErr w:type="gramEnd"/>
      <w:r w:rsidRPr="001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продажи Имущества составляет ______(_________________________________________________) рублей</w:t>
      </w:r>
      <w:r w:rsidR="00490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DB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НДС не облагается</w:t>
      </w:r>
      <w:r w:rsidR="00490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1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42CC" w:rsidRPr="00193A59" w:rsidRDefault="00C942CC" w:rsidP="0067401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Задаток в сумме, внесенный Покупателем в соответствии с Договором о задатке от ___.___.2016, засчитывается в счет оплаты Имущества.</w:t>
      </w:r>
    </w:p>
    <w:p w:rsidR="00C942CC" w:rsidRPr="00193A59" w:rsidRDefault="00C942CC" w:rsidP="0067401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За вычетом суммы задатка Покупатель обязан уплатить за Имущество </w:t>
      </w:r>
      <w:r w:rsidR="00FB7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денежные средства в размере </w:t>
      </w:r>
      <w:r w:rsidRPr="001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______(_________________________________________________) рублей</w:t>
      </w:r>
      <w:r w:rsidR="00490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DB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НДС не облагается</w:t>
      </w:r>
      <w:r w:rsidR="00490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DB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должны быть внесены </w:t>
      </w:r>
      <w:proofErr w:type="gramStart"/>
      <w:r w:rsidRPr="00193A5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единовременно  в</w:t>
      </w:r>
      <w:proofErr w:type="gramEnd"/>
      <w:r w:rsidRPr="0019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</w:t>
      </w:r>
      <w:r w:rsidR="00FB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Pr="0019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7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(десяти) </w:t>
      </w:r>
      <w:r w:rsidR="004D05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</w:t>
      </w:r>
      <w:r w:rsidR="004D0515" w:rsidRPr="0019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19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с момента заключения настоящего договора на специальный </w:t>
      </w:r>
      <w:r w:rsidRPr="001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расчетный счет должника</w:t>
      </w:r>
      <w:r w:rsidR="00FB7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реквизиты которого указаны в разделе 6 настоящего Договора.</w:t>
      </w:r>
    </w:p>
    <w:p w:rsidR="00C942CC" w:rsidRPr="00193A59" w:rsidRDefault="00C942CC" w:rsidP="00FB721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Моментом полной оплаты приобретаемого по настоящему договору Имущества считается день зачисления денежных средств, указанных в п.2.3 настоящего договора, на специальный расчетный счет должника.</w:t>
      </w:r>
    </w:p>
    <w:p w:rsidR="00C942CC" w:rsidRPr="00193A59" w:rsidRDefault="00C942CC" w:rsidP="00C942CC">
      <w:pPr>
        <w:tabs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33B87" w:rsidRPr="00193A59" w:rsidRDefault="00233B87" w:rsidP="00233B87">
      <w:pPr>
        <w:pStyle w:val="1"/>
        <w:keepNext w:val="0"/>
        <w:widowControl/>
        <w:numPr>
          <w:ilvl w:val="0"/>
          <w:numId w:val="0"/>
        </w:numPr>
        <w:suppressLineNumbers/>
        <w:suppressAutoHyphens/>
        <w:spacing w:before="0"/>
        <w:jc w:val="center"/>
        <w:rPr>
          <w:szCs w:val="24"/>
        </w:rPr>
      </w:pPr>
    </w:p>
    <w:p w:rsidR="00233B87" w:rsidRPr="00193A59" w:rsidRDefault="00233B87" w:rsidP="00233B87">
      <w:pPr>
        <w:pStyle w:val="1"/>
        <w:keepNext w:val="0"/>
        <w:widowControl/>
        <w:numPr>
          <w:ilvl w:val="0"/>
          <w:numId w:val="0"/>
        </w:numPr>
        <w:suppressLineNumbers/>
        <w:suppressAutoHyphens/>
        <w:spacing w:before="0"/>
        <w:jc w:val="center"/>
        <w:rPr>
          <w:szCs w:val="24"/>
        </w:rPr>
      </w:pPr>
      <w:r w:rsidRPr="00193A59">
        <w:rPr>
          <w:szCs w:val="24"/>
        </w:rPr>
        <w:t xml:space="preserve">3. </w:t>
      </w:r>
      <w:r w:rsidR="00FB721B">
        <w:rPr>
          <w:szCs w:val="24"/>
        </w:rPr>
        <w:t>ПЕРЕДАЧА ИМУЩЕСТВА</w:t>
      </w:r>
    </w:p>
    <w:p w:rsidR="00375FA1" w:rsidRPr="00193A59" w:rsidRDefault="00233B87" w:rsidP="00375FA1">
      <w:pPr>
        <w:suppressLineNumbers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93A59">
        <w:rPr>
          <w:rFonts w:ascii="Times New Roman" w:hAnsi="Times New Roman" w:cs="Times New Roman"/>
          <w:sz w:val="24"/>
          <w:szCs w:val="24"/>
        </w:rPr>
        <w:t>3.1</w:t>
      </w:r>
      <w:r w:rsidR="00F158BF">
        <w:rPr>
          <w:rFonts w:ascii="Times New Roman" w:hAnsi="Times New Roman" w:cs="Times New Roman"/>
          <w:sz w:val="24"/>
          <w:szCs w:val="24"/>
        </w:rPr>
        <w:t>.</w:t>
      </w:r>
      <w:r w:rsidRPr="00193A59">
        <w:rPr>
          <w:rFonts w:ascii="Times New Roman" w:hAnsi="Times New Roman" w:cs="Times New Roman"/>
          <w:sz w:val="24"/>
          <w:szCs w:val="24"/>
        </w:rPr>
        <w:t xml:space="preserve"> </w:t>
      </w:r>
      <w:r w:rsidR="00375FA1" w:rsidRPr="00193A59">
        <w:rPr>
          <w:rFonts w:ascii="Times New Roman" w:hAnsi="Times New Roman" w:cs="Times New Roman"/>
          <w:sz w:val="24"/>
          <w:szCs w:val="24"/>
        </w:rPr>
        <w:t xml:space="preserve">Передача Продавцом Имущества осуществляется Покупателю (при совместном присутствии </w:t>
      </w:r>
      <w:r w:rsidR="00FB721B">
        <w:rPr>
          <w:rFonts w:ascii="Times New Roman" w:hAnsi="Times New Roman" w:cs="Times New Roman"/>
          <w:sz w:val="24"/>
          <w:szCs w:val="24"/>
        </w:rPr>
        <w:t>уполномоченного представителя/</w:t>
      </w:r>
      <w:r w:rsidR="00375FA1" w:rsidRPr="00193A59">
        <w:rPr>
          <w:rFonts w:ascii="Times New Roman" w:hAnsi="Times New Roman" w:cs="Times New Roman"/>
          <w:sz w:val="24"/>
          <w:szCs w:val="24"/>
        </w:rPr>
        <w:t>уполномоченных представителей</w:t>
      </w:r>
      <w:r w:rsidR="00FB721B">
        <w:rPr>
          <w:rFonts w:ascii="Times New Roman" w:hAnsi="Times New Roman" w:cs="Times New Roman"/>
          <w:sz w:val="24"/>
          <w:szCs w:val="24"/>
        </w:rPr>
        <w:t>, действующих</w:t>
      </w:r>
      <w:r w:rsidR="00D25C43" w:rsidRPr="00193A59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FB721B">
        <w:rPr>
          <w:rFonts w:ascii="Times New Roman" w:hAnsi="Times New Roman" w:cs="Times New Roman"/>
          <w:sz w:val="24"/>
          <w:szCs w:val="24"/>
        </w:rPr>
        <w:t>Устава/</w:t>
      </w:r>
      <w:r w:rsidR="00D25C43" w:rsidRPr="00193A59">
        <w:rPr>
          <w:rFonts w:ascii="Times New Roman" w:hAnsi="Times New Roman" w:cs="Times New Roman"/>
          <w:sz w:val="24"/>
          <w:szCs w:val="24"/>
        </w:rPr>
        <w:t>нотариально удостоверенных доверенностей</w:t>
      </w:r>
      <w:r w:rsidR="00375FA1" w:rsidRPr="00193A59">
        <w:rPr>
          <w:rFonts w:ascii="Times New Roman" w:hAnsi="Times New Roman" w:cs="Times New Roman"/>
          <w:sz w:val="24"/>
          <w:szCs w:val="24"/>
        </w:rPr>
        <w:t>) по адресу: Санкт-Петербург, город Красное Село, ул. Свободы д. 46 по акту приема-передачи в течение 5 (Пяти) рабочих</w:t>
      </w:r>
      <w:r w:rsidR="00FB721B">
        <w:rPr>
          <w:rFonts w:ascii="Times New Roman" w:hAnsi="Times New Roman" w:cs="Times New Roman"/>
          <w:sz w:val="24"/>
          <w:szCs w:val="24"/>
        </w:rPr>
        <w:t xml:space="preserve"> дней</w:t>
      </w:r>
      <w:r w:rsidR="00375FA1" w:rsidRPr="00193A59">
        <w:rPr>
          <w:rFonts w:ascii="Times New Roman" w:hAnsi="Times New Roman" w:cs="Times New Roman"/>
          <w:sz w:val="24"/>
          <w:szCs w:val="24"/>
        </w:rPr>
        <w:t xml:space="preserve"> после оплаты Покупател</w:t>
      </w:r>
      <w:r w:rsidR="00D25C43" w:rsidRPr="00193A59">
        <w:rPr>
          <w:rFonts w:ascii="Times New Roman" w:hAnsi="Times New Roman" w:cs="Times New Roman"/>
          <w:sz w:val="24"/>
          <w:szCs w:val="24"/>
        </w:rPr>
        <w:t>ем платежей, указанных в п</w:t>
      </w:r>
      <w:r w:rsidRPr="001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п.2.1, 2.3</w:t>
      </w:r>
      <w:r w:rsidR="00375FA1" w:rsidRPr="00193A59">
        <w:rPr>
          <w:rFonts w:ascii="Times New Roman" w:hAnsi="Times New Roman" w:cs="Times New Roman"/>
          <w:sz w:val="24"/>
          <w:szCs w:val="24"/>
        </w:rPr>
        <w:t xml:space="preserve"> Демонтаж, упаковку и погрузку Имущества </w:t>
      </w:r>
      <w:r w:rsidR="00D25C43" w:rsidRPr="00193A59">
        <w:rPr>
          <w:rFonts w:ascii="Times New Roman" w:hAnsi="Times New Roman" w:cs="Times New Roman"/>
          <w:sz w:val="24"/>
          <w:szCs w:val="24"/>
        </w:rPr>
        <w:t>Покупатель</w:t>
      </w:r>
      <w:r w:rsidR="00375FA1" w:rsidRPr="00193A59">
        <w:rPr>
          <w:rFonts w:ascii="Times New Roman" w:hAnsi="Times New Roman" w:cs="Times New Roman"/>
          <w:sz w:val="24"/>
          <w:szCs w:val="24"/>
        </w:rPr>
        <w:t xml:space="preserve"> осуществляет за свой счет, своими силами или с привлечением третьих лиц.</w:t>
      </w:r>
      <w:r w:rsidRPr="00193A59">
        <w:rPr>
          <w:rFonts w:ascii="Times New Roman" w:hAnsi="Times New Roman" w:cs="Times New Roman"/>
          <w:sz w:val="24"/>
          <w:szCs w:val="24"/>
        </w:rPr>
        <w:t xml:space="preserve"> </w:t>
      </w:r>
      <w:r w:rsidR="00FB721B">
        <w:rPr>
          <w:rFonts w:ascii="Times New Roman" w:hAnsi="Times New Roman" w:cs="Times New Roman"/>
          <w:sz w:val="24"/>
          <w:szCs w:val="24"/>
        </w:rPr>
        <w:t>Продавец</w:t>
      </w:r>
      <w:r w:rsidR="00FB721B" w:rsidRPr="00193A59">
        <w:rPr>
          <w:rFonts w:ascii="Times New Roman" w:hAnsi="Times New Roman" w:cs="Times New Roman"/>
          <w:sz w:val="24"/>
          <w:szCs w:val="24"/>
        </w:rPr>
        <w:t xml:space="preserve"> </w:t>
      </w:r>
      <w:r w:rsidRPr="00193A59">
        <w:rPr>
          <w:rFonts w:ascii="Times New Roman" w:hAnsi="Times New Roman" w:cs="Times New Roman"/>
          <w:sz w:val="24"/>
          <w:szCs w:val="24"/>
        </w:rPr>
        <w:t xml:space="preserve">обязуется предоставить доступ </w:t>
      </w:r>
      <w:r w:rsidRPr="00193A59">
        <w:rPr>
          <w:rFonts w:ascii="Times New Roman" w:hAnsi="Times New Roman" w:cs="Times New Roman"/>
          <w:sz w:val="24"/>
          <w:szCs w:val="24"/>
        </w:rPr>
        <w:lastRenderedPageBreak/>
        <w:t>Покупателю или его полномочным представителям для осуществления демонтажа, упаковки, погрузке и вывозу Имущества.</w:t>
      </w:r>
    </w:p>
    <w:p w:rsidR="00375FA1" w:rsidRPr="00193A59" w:rsidRDefault="00233B87" w:rsidP="00375FA1">
      <w:pPr>
        <w:suppressLineNumbers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93A59">
        <w:rPr>
          <w:rFonts w:ascii="Times New Roman" w:hAnsi="Times New Roman" w:cs="Times New Roman"/>
          <w:sz w:val="24"/>
          <w:szCs w:val="24"/>
        </w:rPr>
        <w:t>3.2</w:t>
      </w:r>
      <w:r w:rsidR="00F158BF">
        <w:rPr>
          <w:rFonts w:ascii="Times New Roman" w:hAnsi="Times New Roman" w:cs="Times New Roman"/>
          <w:sz w:val="24"/>
          <w:szCs w:val="24"/>
        </w:rPr>
        <w:t>.</w:t>
      </w:r>
      <w:r w:rsidRPr="00193A59">
        <w:rPr>
          <w:rFonts w:ascii="Times New Roman" w:hAnsi="Times New Roman" w:cs="Times New Roman"/>
          <w:sz w:val="24"/>
          <w:szCs w:val="24"/>
        </w:rPr>
        <w:t xml:space="preserve"> </w:t>
      </w:r>
      <w:r w:rsidR="00D25C43" w:rsidRPr="00193A59">
        <w:rPr>
          <w:rFonts w:ascii="Times New Roman" w:hAnsi="Times New Roman" w:cs="Times New Roman"/>
          <w:sz w:val="24"/>
          <w:szCs w:val="24"/>
        </w:rPr>
        <w:t xml:space="preserve">Покупатель вправе приступить к демонтажу, </w:t>
      </w:r>
      <w:r w:rsidR="00375FA1" w:rsidRPr="00193A59">
        <w:rPr>
          <w:rFonts w:ascii="Times New Roman" w:hAnsi="Times New Roman" w:cs="Times New Roman"/>
          <w:sz w:val="24"/>
          <w:szCs w:val="24"/>
        </w:rPr>
        <w:t>упаковке</w:t>
      </w:r>
      <w:r w:rsidR="00D25C43" w:rsidRPr="00193A59">
        <w:rPr>
          <w:rFonts w:ascii="Times New Roman" w:hAnsi="Times New Roman" w:cs="Times New Roman"/>
          <w:sz w:val="24"/>
          <w:szCs w:val="24"/>
        </w:rPr>
        <w:t>, погрузке и вывозу</w:t>
      </w:r>
      <w:r w:rsidR="00375FA1" w:rsidRPr="00193A59">
        <w:rPr>
          <w:rFonts w:ascii="Times New Roman" w:hAnsi="Times New Roman" w:cs="Times New Roman"/>
          <w:sz w:val="24"/>
          <w:szCs w:val="24"/>
        </w:rPr>
        <w:t xml:space="preserve"> Имущества с момента подписания </w:t>
      </w:r>
      <w:r w:rsidR="004D0515">
        <w:rPr>
          <w:rFonts w:ascii="Times New Roman" w:hAnsi="Times New Roman" w:cs="Times New Roman"/>
          <w:sz w:val="24"/>
          <w:szCs w:val="24"/>
        </w:rPr>
        <w:t>А</w:t>
      </w:r>
      <w:r w:rsidR="004D0515" w:rsidRPr="00193A59">
        <w:rPr>
          <w:rFonts w:ascii="Times New Roman" w:hAnsi="Times New Roman" w:cs="Times New Roman"/>
          <w:sz w:val="24"/>
          <w:szCs w:val="24"/>
        </w:rPr>
        <w:t xml:space="preserve">кта </w:t>
      </w:r>
      <w:r w:rsidR="00375FA1" w:rsidRPr="00193A59">
        <w:rPr>
          <w:rFonts w:ascii="Times New Roman" w:hAnsi="Times New Roman" w:cs="Times New Roman"/>
          <w:sz w:val="24"/>
          <w:szCs w:val="24"/>
        </w:rPr>
        <w:t xml:space="preserve">приема-передачи и </w:t>
      </w:r>
      <w:r w:rsidR="004D0515">
        <w:rPr>
          <w:rFonts w:ascii="Times New Roman" w:hAnsi="Times New Roman" w:cs="Times New Roman"/>
          <w:sz w:val="24"/>
          <w:szCs w:val="24"/>
        </w:rPr>
        <w:t>А</w:t>
      </w:r>
      <w:r w:rsidR="004D0515" w:rsidRPr="00193A59">
        <w:rPr>
          <w:rFonts w:ascii="Times New Roman" w:hAnsi="Times New Roman" w:cs="Times New Roman"/>
          <w:sz w:val="24"/>
          <w:szCs w:val="24"/>
        </w:rPr>
        <w:t xml:space="preserve">кта </w:t>
      </w:r>
      <w:r w:rsidR="00375FA1" w:rsidRPr="00193A59">
        <w:rPr>
          <w:rFonts w:ascii="Times New Roman" w:hAnsi="Times New Roman" w:cs="Times New Roman"/>
          <w:sz w:val="24"/>
          <w:szCs w:val="24"/>
        </w:rPr>
        <w:t xml:space="preserve">о приеме-передаче объекта основных средств (ОС-1), при условии исполнения Покупателем обязательств по оплате денежных средств в размере и порядке, указанном в </w:t>
      </w:r>
      <w:r w:rsidRPr="001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п.2.1, 2.3 </w:t>
      </w:r>
      <w:r w:rsidR="00375FA1" w:rsidRPr="00193A59">
        <w:rPr>
          <w:rFonts w:ascii="Times New Roman" w:hAnsi="Times New Roman" w:cs="Times New Roman"/>
          <w:sz w:val="24"/>
          <w:szCs w:val="24"/>
        </w:rPr>
        <w:t xml:space="preserve">настоящего Договора. </w:t>
      </w:r>
    </w:p>
    <w:p w:rsidR="00375FA1" w:rsidRPr="00193A59" w:rsidRDefault="00233B87" w:rsidP="00375F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93A59">
        <w:rPr>
          <w:rFonts w:ascii="Times New Roman" w:hAnsi="Times New Roman" w:cs="Times New Roman"/>
          <w:sz w:val="24"/>
          <w:szCs w:val="24"/>
        </w:rPr>
        <w:t>3.3</w:t>
      </w:r>
      <w:r w:rsidR="00F158BF">
        <w:rPr>
          <w:rFonts w:ascii="Times New Roman" w:hAnsi="Times New Roman" w:cs="Times New Roman"/>
          <w:sz w:val="24"/>
          <w:szCs w:val="24"/>
        </w:rPr>
        <w:t>.</w:t>
      </w:r>
      <w:r w:rsidRPr="00193A59">
        <w:rPr>
          <w:rFonts w:ascii="Times New Roman" w:hAnsi="Times New Roman" w:cs="Times New Roman"/>
          <w:sz w:val="24"/>
          <w:szCs w:val="24"/>
        </w:rPr>
        <w:t xml:space="preserve"> </w:t>
      </w:r>
      <w:r w:rsidR="00D25C43" w:rsidRPr="00193A59">
        <w:rPr>
          <w:rFonts w:ascii="Times New Roman" w:hAnsi="Times New Roman" w:cs="Times New Roman"/>
          <w:sz w:val="24"/>
          <w:szCs w:val="24"/>
        </w:rPr>
        <w:t>Покупатель</w:t>
      </w:r>
      <w:r w:rsidR="00375FA1" w:rsidRPr="00193A59">
        <w:rPr>
          <w:rFonts w:ascii="Times New Roman" w:hAnsi="Times New Roman" w:cs="Times New Roman"/>
          <w:sz w:val="24"/>
          <w:szCs w:val="24"/>
        </w:rPr>
        <w:t xml:space="preserve"> обязан осуществить погрузку и вывоз Имущества в течение</w:t>
      </w:r>
      <w:r w:rsidR="00674010" w:rsidRPr="00193A59">
        <w:rPr>
          <w:rFonts w:ascii="Times New Roman" w:hAnsi="Times New Roman" w:cs="Times New Roman"/>
          <w:sz w:val="24"/>
          <w:szCs w:val="24"/>
        </w:rPr>
        <w:t xml:space="preserve"> 10</w:t>
      </w:r>
      <w:r w:rsidR="00375FA1" w:rsidRPr="00193A59">
        <w:rPr>
          <w:rFonts w:ascii="Times New Roman" w:hAnsi="Times New Roman" w:cs="Times New Roman"/>
          <w:sz w:val="24"/>
          <w:szCs w:val="24"/>
        </w:rPr>
        <w:t xml:space="preserve"> (</w:t>
      </w:r>
      <w:r w:rsidR="00674010" w:rsidRPr="00193A59">
        <w:rPr>
          <w:rFonts w:ascii="Times New Roman" w:hAnsi="Times New Roman" w:cs="Times New Roman"/>
          <w:sz w:val="24"/>
          <w:szCs w:val="24"/>
        </w:rPr>
        <w:t>десят</w:t>
      </w:r>
      <w:r w:rsidR="00375FA1" w:rsidRPr="00193A59">
        <w:rPr>
          <w:rFonts w:ascii="Times New Roman" w:hAnsi="Times New Roman" w:cs="Times New Roman"/>
          <w:sz w:val="24"/>
          <w:szCs w:val="24"/>
        </w:rPr>
        <w:t>и</w:t>
      </w:r>
      <w:r w:rsidRPr="00193A59">
        <w:rPr>
          <w:rFonts w:ascii="Times New Roman" w:hAnsi="Times New Roman" w:cs="Times New Roman"/>
          <w:sz w:val="24"/>
          <w:szCs w:val="24"/>
        </w:rPr>
        <w:t>)</w:t>
      </w:r>
      <w:r w:rsidR="004D0515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193A59">
        <w:rPr>
          <w:rFonts w:ascii="Times New Roman" w:hAnsi="Times New Roman" w:cs="Times New Roman"/>
          <w:sz w:val="24"/>
          <w:szCs w:val="24"/>
        </w:rPr>
        <w:t xml:space="preserve"> дней с момента осуществления </w:t>
      </w:r>
      <w:r w:rsidR="00375FA1" w:rsidRPr="00193A59">
        <w:rPr>
          <w:rFonts w:ascii="Times New Roman" w:hAnsi="Times New Roman" w:cs="Times New Roman"/>
          <w:sz w:val="24"/>
          <w:szCs w:val="24"/>
        </w:rPr>
        <w:t>платежа в порядке п. 2.</w:t>
      </w:r>
      <w:r w:rsidRPr="00193A59">
        <w:rPr>
          <w:rFonts w:ascii="Times New Roman" w:hAnsi="Times New Roman" w:cs="Times New Roman"/>
          <w:sz w:val="24"/>
          <w:szCs w:val="24"/>
        </w:rPr>
        <w:t>3</w:t>
      </w:r>
      <w:r w:rsidR="00375FA1" w:rsidRPr="00193A59">
        <w:rPr>
          <w:rFonts w:ascii="Times New Roman" w:hAnsi="Times New Roman" w:cs="Times New Roman"/>
          <w:sz w:val="24"/>
          <w:szCs w:val="24"/>
        </w:rPr>
        <w:t xml:space="preserve"> настоящего Договора. </w:t>
      </w:r>
    </w:p>
    <w:p w:rsidR="00375FA1" w:rsidRPr="00193A59" w:rsidRDefault="00233B87" w:rsidP="00375FA1">
      <w:pP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A59">
        <w:rPr>
          <w:rFonts w:ascii="Times New Roman" w:hAnsi="Times New Roman" w:cs="Times New Roman"/>
          <w:sz w:val="24"/>
          <w:szCs w:val="24"/>
        </w:rPr>
        <w:t>3.4</w:t>
      </w:r>
      <w:r w:rsidR="00F158BF">
        <w:rPr>
          <w:rFonts w:ascii="Times New Roman" w:hAnsi="Times New Roman" w:cs="Times New Roman"/>
          <w:sz w:val="24"/>
          <w:szCs w:val="24"/>
        </w:rPr>
        <w:t>.</w:t>
      </w:r>
      <w:r w:rsidRPr="00193A59">
        <w:rPr>
          <w:rFonts w:ascii="Times New Roman" w:hAnsi="Times New Roman" w:cs="Times New Roman"/>
          <w:sz w:val="24"/>
          <w:szCs w:val="24"/>
        </w:rPr>
        <w:t xml:space="preserve"> </w:t>
      </w:r>
      <w:r w:rsidR="00375FA1" w:rsidRPr="00193A59">
        <w:rPr>
          <w:rFonts w:ascii="Times New Roman" w:hAnsi="Times New Roman" w:cs="Times New Roman"/>
          <w:sz w:val="24"/>
          <w:szCs w:val="24"/>
        </w:rPr>
        <w:t>Датой передачи Имущества считается дата подписания Акта приема-передачи, подписанного Продавцом</w:t>
      </w:r>
      <w:r w:rsidRPr="00193A59">
        <w:rPr>
          <w:rFonts w:ascii="Times New Roman" w:hAnsi="Times New Roman" w:cs="Times New Roman"/>
          <w:sz w:val="24"/>
          <w:szCs w:val="24"/>
        </w:rPr>
        <w:t xml:space="preserve"> и</w:t>
      </w:r>
      <w:r w:rsidR="00375FA1" w:rsidRPr="00193A59">
        <w:rPr>
          <w:rFonts w:ascii="Times New Roman" w:hAnsi="Times New Roman" w:cs="Times New Roman"/>
          <w:sz w:val="24"/>
          <w:szCs w:val="24"/>
        </w:rPr>
        <w:t xml:space="preserve"> Покупателем, и </w:t>
      </w:r>
      <w:r w:rsidR="00674010" w:rsidRPr="00193A59">
        <w:rPr>
          <w:rFonts w:ascii="Times New Roman" w:hAnsi="Times New Roman" w:cs="Times New Roman"/>
          <w:sz w:val="24"/>
          <w:szCs w:val="24"/>
        </w:rPr>
        <w:t>А</w:t>
      </w:r>
      <w:r w:rsidR="00375FA1" w:rsidRPr="00193A59">
        <w:rPr>
          <w:rFonts w:ascii="Times New Roman" w:hAnsi="Times New Roman" w:cs="Times New Roman"/>
          <w:sz w:val="24"/>
          <w:szCs w:val="24"/>
        </w:rPr>
        <w:t>кта о приеме-передаче объекта основных средств по форме ОС-1, подписанного Продавцом и Покупателем, оформленных в</w:t>
      </w:r>
      <w:r w:rsidRPr="00193A59">
        <w:rPr>
          <w:rFonts w:ascii="Times New Roman" w:hAnsi="Times New Roman" w:cs="Times New Roman"/>
          <w:sz w:val="24"/>
          <w:szCs w:val="24"/>
        </w:rPr>
        <w:t xml:space="preserve"> 2 (дву</w:t>
      </w:r>
      <w:r w:rsidR="00375FA1" w:rsidRPr="00193A59">
        <w:rPr>
          <w:rFonts w:ascii="Times New Roman" w:hAnsi="Times New Roman" w:cs="Times New Roman"/>
          <w:sz w:val="24"/>
          <w:szCs w:val="24"/>
        </w:rPr>
        <w:t>х) экземплярах: один экземпляр для Покупателя, и один – для Продавца.</w:t>
      </w:r>
    </w:p>
    <w:p w:rsidR="00375FA1" w:rsidRPr="00193A59" w:rsidRDefault="00233B87" w:rsidP="00375FA1">
      <w:pPr>
        <w:suppressLineNumbers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93A59">
        <w:rPr>
          <w:rFonts w:ascii="Times New Roman" w:hAnsi="Times New Roman" w:cs="Times New Roman"/>
          <w:sz w:val="24"/>
          <w:szCs w:val="24"/>
        </w:rPr>
        <w:t xml:space="preserve">3.5 </w:t>
      </w:r>
      <w:r w:rsidR="00375FA1" w:rsidRPr="00193A59">
        <w:rPr>
          <w:rFonts w:ascii="Times New Roman" w:hAnsi="Times New Roman" w:cs="Times New Roman"/>
          <w:sz w:val="24"/>
          <w:szCs w:val="24"/>
        </w:rPr>
        <w:t xml:space="preserve">Продавец считается исполнившим обязанность по передаче имущества с момента подписания </w:t>
      </w:r>
      <w:r w:rsidR="00674010" w:rsidRPr="00193A59">
        <w:rPr>
          <w:rFonts w:ascii="Times New Roman" w:hAnsi="Times New Roman" w:cs="Times New Roman"/>
          <w:sz w:val="24"/>
          <w:szCs w:val="24"/>
        </w:rPr>
        <w:t>А</w:t>
      </w:r>
      <w:r w:rsidR="00375FA1" w:rsidRPr="00193A59">
        <w:rPr>
          <w:rFonts w:ascii="Times New Roman" w:hAnsi="Times New Roman" w:cs="Times New Roman"/>
          <w:sz w:val="24"/>
          <w:szCs w:val="24"/>
        </w:rPr>
        <w:t xml:space="preserve">кта приема-передачи и </w:t>
      </w:r>
      <w:r w:rsidR="00674010" w:rsidRPr="00193A59">
        <w:rPr>
          <w:rFonts w:ascii="Times New Roman" w:hAnsi="Times New Roman" w:cs="Times New Roman"/>
          <w:sz w:val="24"/>
          <w:szCs w:val="24"/>
        </w:rPr>
        <w:t>А</w:t>
      </w:r>
      <w:r w:rsidR="00375FA1" w:rsidRPr="00193A59">
        <w:rPr>
          <w:rFonts w:ascii="Times New Roman" w:hAnsi="Times New Roman" w:cs="Times New Roman"/>
          <w:sz w:val="24"/>
          <w:szCs w:val="24"/>
        </w:rPr>
        <w:t>кта о приеме-передаче объекта основных средств по форме ОС-1</w:t>
      </w:r>
      <w:r w:rsidR="00674010" w:rsidRPr="00193A59">
        <w:rPr>
          <w:rFonts w:ascii="Times New Roman" w:hAnsi="Times New Roman" w:cs="Times New Roman"/>
          <w:sz w:val="24"/>
          <w:szCs w:val="24"/>
        </w:rPr>
        <w:t xml:space="preserve"> </w:t>
      </w:r>
      <w:r w:rsidR="00375FA1" w:rsidRPr="00193A59">
        <w:rPr>
          <w:rFonts w:ascii="Times New Roman" w:hAnsi="Times New Roman" w:cs="Times New Roman"/>
          <w:sz w:val="24"/>
          <w:szCs w:val="24"/>
        </w:rPr>
        <w:t>с Покупателем.</w:t>
      </w:r>
    </w:p>
    <w:p w:rsidR="00375FA1" w:rsidRPr="00193A59" w:rsidRDefault="00233B87" w:rsidP="00375FA1">
      <w:pPr>
        <w:suppressLineNumbers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93A59">
        <w:rPr>
          <w:rFonts w:ascii="Times New Roman" w:hAnsi="Times New Roman" w:cs="Times New Roman"/>
          <w:sz w:val="24"/>
          <w:szCs w:val="24"/>
        </w:rPr>
        <w:t xml:space="preserve">3.6 </w:t>
      </w:r>
      <w:r w:rsidR="00375FA1" w:rsidRPr="00193A59">
        <w:rPr>
          <w:rFonts w:ascii="Times New Roman" w:hAnsi="Times New Roman" w:cs="Times New Roman"/>
          <w:sz w:val="24"/>
          <w:szCs w:val="24"/>
        </w:rPr>
        <w:t>Риск случайной гибели или случайного повреждения Имущества переходит на Покупателя с момента, предусмотренного п. 3.</w:t>
      </w:r>
      <w:r w:rsidR="004D0515">
        <w:rPr>
          <w:rFonts w:ascii="Times New Roman" w:hAnsi="Times New Roman" w:cs="Times New Roman"/>
          <w:sz w:val="24"/>
          <w:szCs w:val="24"/>
        </w:rPr>
        <w:t>4</w:t>
      </w:r>
      <w:r w:rsidR="00375FA1" w:rsidRPr="00193A59">
        <w:rPr>
          <w:rFonts w:ascii="Times New Roman" w:hAnsi="Times New Roman" w:cs="Times New Roman"/>
          <w:sz w:val="24"/>
          <w:szCs w:val="24"/>
        </w:rPr>
        <w:t>. настоящего Договора.</w:t>
      </w:r>
    </w:p>
    <w:p w:rsidR="00375FA1" w:rsidRPr="00193A59" w:rsidRDefault="00233B87" w:rsidP="00375FA1">
      <w:pPr>
        <w:suppressLineNumbers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A59">
        <w:rPr>
          <w:rFonts w:ascii="Times New Roman" w:hAnsi="Times New Roman" w:cs="Times New Roman"/>
          <w:sz w:val="24"/>
          <w:szCs w:val="24"/>
        </w:rPr>
        <w:t xml:space="preserve">3.7 </w:t>
      </w:r>
      <w:r w:rsidR="00375FA1" w:rsidRPr="00193A59">
        <w:rPr>
          <w:rFonts w:ascii="Times New Roman" w:hAnsi="Times New Roman" w:cs="Times New Roman"/>
          <w:sz w:val="24"/>
          <w:szCs w:val="24"/>
        </w:rPr>
        <w:t xml:space="preserve">Продавец обязуется вместе с Имуществом передать Покупателю следующие документы: </w:t>
      </w:r>
      <w:r w:rsidR="004D0515">
        <w:rPr>
          <w:rFonts w:ascii="Times New Roman" w:hAnsi="Times New Roman" w:cs="Times New Roman"/>
          <w:sz w:val="24"/>
          <w:szCs w:val="24"/>
        </w:rPr>
        <w:t>А</w:t>
      </w:r>
      <w:r w:rsidR="004D0515" w:rsidRPr="00193A59">
        <w:rPr>
          <w:rFonts w:ascii="Times New Roman" w:hAnsi="Times New Roman" w:cs="Times New Roman"/>
          <w:sz w:val="24"/>
          <w:szCs w:val="24"/>
        </w:rPr>
        <w:t xml:space="preserve">кт </w:t>
      </w:r>
      <w:r w:rsidR="00375FA1" w:rsidRPr="00193A59">
        <w:rPr>
          <w:rFonts w:ascii="Times New Roman" w:hAnsi="Times New Roman" w:cs="Times New Roman"/>
          <w:sz w:val="24"/>
          <w:szCs w:val="24"/>
        </w:rPr>
        <w:t xml:space="preserve">о приеме-передаче объекта основных средств (по форме ОС-1), счет-фактуру, оформленные в соответствии с действующим законодательством РФ, а также </w:t>
      </w:r>
      <w:r w:rsidR="00D25C43" w:rsidRPr="00193A59">
        <w:rPr>
          <w:rFonts w:ascii="Times New Roman" w:hAnsi="Times New Roman" w:cs="Times New Roman"/>
          <w:sz w:val="24"/>
          <w:szCs w:val="24"/>
        </w:rPr>
        <w:t>Акт</w:t>
      </w:r>
      <w:r w:rsidR="00375FA1" w:rsidRPr="00193A59">
        <w:rPr>
          <w:rFonts w:ascii="Times New Roman" w:hAnsi="Times New Roman" w:cs="Times New Roman"/>
          <w:sz w:val="24"/>
          <w:szCs w:val="24"/>
        </w:rPr>
        <w:t xml:space="preserve"> приема-передачи, комплект имеющиеся в его распоряжении технической документации.</w:t>
      </w:r>
    </w:p>
    <w:p w:rsidR="00375FA1" w:rsidRPr="00193A59" w:rsidRDefault="00233B87" w:rsidP="00375FA1">
      <w:pPr>
        <w:suppressLineNumbers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93A59">
        <w:rPr>
          <w:rFonts w:ascii="Times New Roman" w:hAnsi="Times New Roman" w:cs="Times New Roman"/>
          <w:sz w:val="24"/>
          <w:szCs w:val="24"/>
        </w:rPr>
        <w:t xml:space="preserve">3.8 </w:t>
      </w:r>
      <w:r w:rsidR="00375FA1" w:rsidRPr="00193A59">
        <w:rPr>
          <w:rFonts w:ascii="Times New Roman" w:hAnsi="Times New Roman" w:cs="Times New Roman"/>
          <w:sz w:val="24"/>
          <w:szCs w:val="24"/>
        </w:rPr>
        <w:t xml:space="preserve">Право собственности на Имущество переходит к Покупателю с даты подписания </w:t>
      </w:r>
      <w:r w:rsidR="00D25C43" w:rsidRPr="00193A59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="00375FA1" w:rsidRPr="00193A59">
        <w:rPr>
          <w:rFonts w:ascii="Times New Roman" w:hAnsi="Times New Roman" w:cs="Times New Roman"/>
          <w:sz w:val="24"/>
          <w:szCs w:val="24"/>
        </w:rPr>
        <w:t>и Продавцом Акта приема-передачи Имущества.</w:t>
      </w:r>
    </w:p>
    <w:p w:rsidR="00233B87" w:rsidRPr="00FB721B" w:rsidRDefault="00233B87" w:rsidP="00233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42CC" w:rsidRPr="00193A59" w:rsidRDefault="00C942CC" w:rsidP="00061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5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061449" w:rsidRPr="00193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ОТВЕТСТВЕННОСТЬ СТОРОН</w:t>
      </w:r>
    </w:p>
    <w:p w:rsidR="00061449" w:rsidRPr="00193A59" w:rsidRDefault="00061449" w:rsidP="000614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42CC" w:rsidRPr="00193A59" w:rsidRDefault="00C942CC" w:rsidP="0067401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За неисполнение или ненадлежащее исполнение обязательств по настоящему договору Стороны несут ответственность в соответствии с нормами действующего законодательства.</w:t>
      </w:r>
    </w:p>
    <w:p w:rsidR="00C942CC" w:rsidRPr="00193A59" w:rsidRDefault="00C942CC" w:rsidP="0067401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 случае нарушения сроков внесения денежных средств в счет оплаты Имущества в порядке, установленном п.2.3 настоящего договора, обязательства Покупателя считаются неисполненными, настоящий договор считается прекратившим свое действие, все обязательства Сторон по договору прекращаются. Оформление Сторонами дополнительного соглашения о расторжении настоящего догов</w:t>
      </w:r>
      <w:r w:rsidR="00061449" w:rsidRPr="001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 в таком случае не требуется, задаток Покупателю не возвращается.</w:t>
      </w:r>
    </w:p>
    <w:p w:rsidR="00061449" w:rsidRPr="00FB721B" w:rsidRDefault="00061449" w:rsidP="000614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42CC" w:rsidRPr="00F158BF" w:rsidRDefault="00C942CC" w:rsidP="00061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7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="00061449" w:rsidRPr="00F158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ЗАКЛЮЧИТЕЛЬНЫЕ ПОЛОЖЕНИЯ</w:t>
      </w:r>
    </w:p>
    <w:p w:rsidR="00061449" w:rsidRPr="00135699" w:rsidRDefault="00061449" w:rsidP="000614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42CC" w:rsidRPr="00193A59" w:rsidRDefault="00C942CC" w:rsidP="0067401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Настоящий договор вступает в силу с момента его подписания и прекращает свое действие:</w:t>
      </w:r>
    </w:p>
    <w:p w:rsidR="00C942CC" w:rsidRPr="00193A59" w:rsidRDefault="00C942CC" w:rsidP="0067401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исполнением Сторонами своих обязательств по настоящему договору;</w:t>
      </w:r>
    </w:p>
    <w:p w:rsidR="00C942CC" w:rsidRPr="00193A59" w:rsidRDefault="00C942CC" w:rsidP="006740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предусмотренных настоящим </w:t>
      </w:r>
      <w:r w:rsidRPr="00193A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 случаях;</w:t>
      </w:r>
    </w:p>
    <w:p w:rsidR="00C942CC" w:rsidRPr="00193A59" w:rsidRDefault="00C942CC" w:rsidP="006740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A5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иным основаниям, предусмотренным действующим </w:t>
      </w:r>
      <w:hyperlink r:id="rId8" w:tooltip="Законы в России" w:history="1">
        <w:r w:rsidRPr="00193A5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 Российской Федерации</w:t>
        </w:r>
      </w:hyperlink>
      <w:r w:rsidRPr="00193A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42CC" w:rsidRPr="00193A59" w:rsidRDefault="00C942CC" w:rsidP="00193A59">
      <w:pPr>
        <w:tabs>
          <w:tab w:val="left" w:pos="1701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A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5.2. Все споры или разногласия, возникающие между Сторонами по настоящему договору или в связи с ним, разрешаются путем переговоров между Сторонами. В случае </w:t>
      </w:r>
      <w:proofErr w:type="spellStart"/>
      <w:r w:rsidRPr="00193A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19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споры подлежат рассмотрению в судебном порядке в соответствии с установленной </w:t>
      </w:r>
      <w:r w:rsidRPr="001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действующим законодательством подведомственностью.</w:t>
      </w:r>
    </w:p>
    <w:p w:rsidR="00C942CC" w:rsidRPr="00193A59" w:rsidRDefault="00C942CC" w:rsidP="0067401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Настоящий договор составлен в </w:t>
      </w:r>
      <w:r w:rsidR="00BA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(</w:t>
      </w:r>
      <w:r w:rsidRPr="001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BA1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тождественных</w:t>
      </w:r>
      <w:r w:rsidRPr="0019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по одному для Продавца, Покупателя.</w:t>
      </w:r>
    </w:p>
    <w:p w:rsidR="00061449" w:rsidRPr="00FB721B" w:rsidRDefault="00061449" w:rsidP="0067401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1449" w:rsidRPr="00193A59" w:rsidRDefault="00090F1F" w:rsidP="00061449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A59">
        <w:rPr>
          <w:rFonts w:ascii="Times New Roman" w:hAnsi="Times New Roman" w:cs="Times New Roman"/>
          <w:b/>
          <w:sz w:val="24"/>
          <w:szCs w:val="24"/>
        </w:rPr>
        <w:t>6</w:t>
      </w:r>
      <w:r w:rsidR="00061449" w:rsidRPr="00193A59">
        <w:rPr>
          <w:rFonts w:ascii="Times New Roman" w:hAnsi="Times New Roman" w:cs="Times New Roman"/>
          <w:b/>
          <w:sz w:val="24"/>
          <w:szCs w:val="24"/>
        </w:rPr>
        <w:t>. АДРЕСА И ПЛАТЕЖНЫЕ РЕКВИЗИТЫ СТОРОН</w:t>
      </w:r>
    </w:p>
    <w:p w:rsidR="00061449" w:rsidRPr="00193A59" w:rsidRDefault="00061449" w:rsidP="00061449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8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180"/>
        <w:gridCol w:w="62"/>
        <w:gridCol w:w="160"/>
        <w:gridCol w:w="4377"/>
        <w:gridCol w:w="227"/>
      </w:tblGrid>
      <w:tr w:rsidR="00061449" w:rsidRPr="00FB721B" w:rsidTr="00193A59">
        <w:trPr>
          <w:trHeight w:val="141"/>
        </w:trPr>
        <w:tc>
          <w:tcPr>
            <w:tcW w:w="5102" w:type="dxa"/>
            <w:gridSpan w:val="3"/>
            <w:shd w:val="clear" w:color="auto" w:fill="auto"/>
          </w:tcPr>
          <w:p w:rsidR="00061449" w:rsidRPr="00193A59" w:rsidRDefault="00061449" w:rsidP="00061449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59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</w:tc>
        <w:tc>
          <w:tcPr>
            <w:tcW w:w="160" w:type="dxa"/>
            <w:shd w:val="clear" w:color="auto" w:fill="auto"/>
          </w:tcPr>
          <w:p w:rsidR="00061449" w:rsidRPr="00193A59" w:rsidRDefault="00061449" w:rsidP="0006144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  <w:gridSpan w:val="2"/>
            <w:shd w:val="clear" w:color="auto" w:fill="auto"/>
          </w:tcPr>
          <w:p w:rsidR="00061449" w:rsidRPr="00193A59" w:rsidRDefault="00F158BF" w:rsidP="00061449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  <w:r w:rsidR="00061449" w:rsidRPr="00193A5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61449" w:rsidRPr="00FB721B" w:rsidTr="009069C6">
        <w:trPr>
          <w:gridAfter w:val="1"/>
          <w:wAfter w:w="227" w:type="dxa"/>
          <w:trHeight w:val="308"/>
        </w:trPr>
        <w:tc>
          <w:tcPr>
            <w:tcW w:w="4860" w:type="dxa"/>
          </w:tcPr>
          <w:p w:rsidR="00061449" w:rsidRPr="00193A59" w:rsidRDefault="00061449" w:rsidP="0006144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59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 акционерное общество</w:t>
            </w:r>
          </w:p>
          <w:p w:rsidR="00061449" w:rsidRPr="00193A59" w:rsidRDefault="00061449" w:rsidP="0006144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59">
              <w:rPr>
                <w:rFonts w:ascii="Times New Roman" w:hAnsi="Times New Roman" w:cs="Times New Roman"/>
                <w:b/>
                <w:sz w:val="24"/>
                <w:szCs w:val="24"/>
              </w:rPr>
              <w:t>«Комплект»</w:t>
            </w:r>
          </w:p>
        </w:tc>
        <w:tc>
          <w:tcPr>
            <w:tcW w:w="180" w:type="dxa"/>
            <w:vAlign w:val="center"/>
          </w:tcPr>
          <w:p w:rsidR="00061449" w:rsidRPr="00193A59" w:rsidRDefault="00061449" w:rsidP="00061449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9" w:type="dxa"/>
            <w:gridSpan w:val="3"/>
            <w:vAlign w:val="center"/>
          </w:tcPr>
          <w:p w:rsidR="00061449" w:rsidRPr="00193A59" w:rsidRDefault="00061449" w:rsidP="0006144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1449" w:rsidRPr="00FB721B" w:rsidTr="009069C6">
        <w:trPr>
          <w:gridAfter w:val="1"/>
          <w:wAfter w:w="227" w:type="dxa"/>
          <w:trHeight w:val="686"/>
        </w:trPr>
        <w:tc>
          <w:tcPr>
            <w:tcW w:w="4860" w:type="dxa"/>
          </w:tcPr>
          <w:p w:rsidR="00061449" w:rsidRPr="00193A59" w:rsidRDefault="00061449" w:rsidP="000614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A59">
              <w:rPr>
                <w:rFonts w:ascii="Times New Roman" w:hAnsi="Times New Roman" w:cs="Times New Roman"/>
                <w:sz w:val="24"/>
                <w:szCs w:val="24"/>
              </w:rPr>
              <w:t>198320, Санкт-Петербург, г. Красное Село</w:t>
            </w:r>
          </w:p>
          <w:p w:rsidR="00061449" w:rsidRPr="00193A59" w:rsidRDefault="00061449" w:rsidP="000614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A59">
              <w:rPr>
                <w:rFonts w:ascii="Times New Roman" w:hAnsi="Times New Roman" w:cs="Times New Roman"/>
                <w:sz w:val="24"/>
                <w:szCs w:val="24"/>
              </w:rPr>
              <w:t>ул. Свободы, д.46</w:t>
            </w:r>
          </w:p>
          <w:p w:rsidR="00061449" w:rsidRPr="00193A59" w:rsidRDefault="00061449" w:rsidP="0098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A59">
              <w:rPr>
                <w:rFonts w:ascii="Times New Roman" w:hAnsi="Times New Roman" w:cs="Times New Roman"/>
                <w:sz w:val="24"/>
                <w:szCs w:val="24"/>
              </w:rPr>
              <w:t>ИНН 7807000717 КПП 780701001</w:t>
            </w:r>
          </w:p>
          <w:p w:rsidR="00983FAE" w:rsidRPr="00556316" w:rsidRDefault="00983FAE" w:rsidP="00983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р/с в</w:t>
            </w:r>
            <w:r w:rsidRPr="00556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Санкт-Петербургск</w:t>
            </w:r>
            <w:r>
              <w:t xml:space="preserve">ом </w:t>
            </w:r>
            <w:r w:rsidRPr="00556316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</w:t>
            </w:r>
            <w:r>
              <w:t>е</w:t>
            </w:r>
            <w:r w:rsidRPr="00556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ПАО "Промсвязьбанк" </w:t>
            </w:r>
          </w:p>
          <w:p w:rsidR="00983FAE" w:rsidRDefault="00983FAE" w:rsidP="00983FAE">
            <w:pPr>
              <w:spacing w:after="0" w:line="240" w:lineRule="auto"/>
              <w:ind w:right="-285"/>
            </w:pPr>
            <w:r w:rsidRPr="00556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 044030920 </w:t>
            </w:r>
          </w:p>
          <w:p w:rsidR="00983FAE" w:rsidRDefault="00983FAE" w:rsidP="00983FAE">
            <w:pPr>
              <w:spacing w:after="0" w:line="240" w:lineRule="auto"/>
              <w:ind w:right="-285"/>
            </w:pPr>
            <w:proofErr w:type="spellStart"/>
            <w:r w:rsidRPr="00556316">
              <w:rPr>
                <w:rFonts w:ascii="Times New Roman" w:eastAsia="Times New Roman" w:hAnsi="Times New Roman" w:cs="Times New Roman"/>
                <w:sz w:val="24"/>
                <w:szCs w:val="24"/>
              </w:rPr>
              <w:t>Кор.счет</w:t>
            </w:r>
            <w:proofErr w:type="spellEnd"/>
            <w:r w:rsidRPr="00556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30101810000000000920 </w:t>
            </w:r>
          </w:p>
          <w:p w:rsidR="00983FAE" w:rsidRPr="00556316" w:rsidRDefault="00983FAE" w:rsidP="00983FAE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6316">
              <w:rPr>
                <w:rFonts w:ascii="Times New Roman" w:eastAsia="Times New Roman" w:hAnsi="Times New Roman" w:cs="Times New Roman"/>
                <w:sz w:val="24"/>
                <w:szCs w:val="24"/>
              </w:rPr>
              <w:t>Расч.счет</w:t>
            </w:r>
            <w:proofErr w:type="spellEnd"/>
            <w:r w:rsidRPr="00556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40702810706000012023</w:t>
            </w:r>
          </w:p>
          <w:p w:rsidR="00061449" w:rsidRPr="00193A59" w:rsidRDefault="00061449" w:rsidP="000614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061449" w:rsidRPr="00193A59" w:rsidRDefault="00061449" w:rsidP="000614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9" w:type="dxa"/>
            <w:gridSpan w:val="3"/>
          </w:tcPr>
          <w:p w:rsidR="00061449" w:rsidRPr="00193A59" w:rsidRDefault="00061449" w:rsidP="00061449">
            <w:pPr>
              <w:pStyle w:val="11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61449" w:rsidRPr="00FB721B" w:rsidTr="009069C6">
        <w:trPr>
          <w:trHeight w:val="308"/>
        </w:trPr>
        <w:tc>
          <w:tcPr>
            <w:tcW w:w="5102" w:type="dxa"/>
            <w:gridSpan w:val="3"/>
            <w:shd w:val="clear" w:color="auto" w:fill="auto"/>
          </w:tcPr>
          <w:p w:rsidR="00061449" w:rsidRPr="00193A59" w:rsidRDefault="00061449" w:rsidP="0006144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061449" w:rsidRPr="00193A59" w:rsidRDefault="00061449" w:rsidP="00061449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4" w:type="dxa"/>
            <w:gridSpan w:val="2"/>
            <w:shd w:val="clear" w:color="auto" w:fill="auto"/>
            <w:vAlign w:val="center"/>
          </w:tcPr>
          <w:p w:rsidR="00061449" w:rsidRPr="00193A59" w:rsidRDefault="00061449" w:rsidP="0006144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1449" w:rsidRPr="00FB721B" w:rsidTr="00983FAE">
        <w:trPr>
          <w:trHeight w:val="80"/>
        </w:trPr>
        <w:tc>
          <w:tcPr>
            <w:tcW w:w="5102" w:type="dxa"/>
            <w:gridSpan w:val="3"/>
            <w:shd w:val="clear" w:color="auto" w:fill="auto"/>
          </w:tcPr>
          <w:p w:rsidR="00061449" w:rsidRPr="00193A59" w:rsidRDefault="00061449" w:rsidP="000614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59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061449" w:rsidRPr="00193A59" w:rsidRDefault="00061449" w:rsidP="000614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449" w:rsidRPr="00193A59" w:rsidRDefault="00061449" w:rsidP="000614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__________/Яковенко И.А./                                                         </w:t>
            </w:r>
          </w:p>
        </w:tc>
        <w:tc>
          <w:tcPr>
            <w:tcW w:w="160" w:type="dxa"/>
            <w:shd w:val="clear" w:color="auto" w:fill="auto"/>
          </w:tcPr>
          <w:p w:rsidR="00061449" w:rsidRPr="00193A59" w:rsidRDefault="00061449" w:rsidP="00061449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4" w:type="dxa"/>
            <w:gridSpan w:val="2"/>
            <w:shd w:val="clear" w:color="auto" w:fill="auto"/>
          </w:tcPr>
          <w:p w:rsidR="00061449" w:rsidRPr="00193A59" w:rsidRDefault="00061449" w:rsidP="00061449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449" w:rsidRPr="00193A59" w:rsidRDefault="00061449" w:rsidP="00061449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449" w:rsidRPr="00193A59" w:rsidRDefault="00061449" w:rsidP="0006144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______________________ </w:t>
            </w:r>
          </w:p>
        </w:tc>
      </w:tr>
    </w:tbl>
    <w:p w:rsidR="0005454E" w:rsidRPr="00193A59" w:rsidRDefault="006C4A28" w:rsidP="00C942CC">
      <w:pPr>
        <w:spacing w:after="0"/>
        <w:jc w:val="both"/>
        <w:rPr>
          <w:sz w:val="24"/>
          <w:szCs w:val="24"/>
        </w:rPr>
      </w:pPr>
    </w:p>
    <w:sectPr w:rsidR="0005454E" w:rsidRPr="00193A59" w:rsidSect="00FB721B"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D33" w:rsidRDefault="00B16D33" w:rsidP="00BA1F9E">
      <w:pPr>
        <w:spacing w:after="0" w:line="240" w:lineRule="auto"/>
      </w:pPr>
      <w:r>
        <w:separator/>
      </w:r>
    </w:p>
  </w:endnote>
  <w:endnote w:type="continuationSeparator" w:id="0">
    <w:p w:rsidR="00B16D33" w:rsidRDefault="00B16D33" w:rsidP="00BA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F9E" w:rsidRDefault="00BA1F9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D33" w:rsidRDefault="00B16D33" w:rsidP="00BA1F9E">
      <w:pPr>
        <w:spacing w:after="0" w:line="240" w:lineRule="auto"/>
      </w:pPr>
      <w:r>
        <w:separator/>
      </w:r>
    </w:p>
  </w:footnote>
  <w:footnote w:type="continuationSeparator" w:id="0">
    <w:p w:rsidR="00B16D33" w:rsidRDefault="00B16D33" w:rsidP="00BA1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E092EACE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color w:val="auto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CC"/>
    <w:rsid w:val="00061449"/>
    <w:rsid w:val="00090F1F"/>
    <w:rsid w:val="00135699"/>
    <w:rsid w:val="00153C5A"/>
    <w:rsid w:val="00193A59"/>
    <w:rsid w:val="001A7C48"/>
    <w:rsid w:val="00233B87"/>
    <w:rsid w:val="00375FA1"/>
    <w:rsid w:val="00471C2A"/>
    <w:rsid w:val="004903E0"/>
    <w:rsid w:val="004D0515"/>
    <w:rsid w:val="005C3FC2"/>
    <w:rsid w:val="00674010"/>
    <w:rsid w:val="00695943"/>
    <w:rsid w:val="006C4A28"/>
    <w:rsid w:val="00742E3B"/>
    <w:rsid w:val="007B7C82"/>
    <w:rsid w:val="00923A70"/>
    <w:rsid w:val="00983FAE"/>
    <w:rsid w:val="009E2B01"/>
    <w:rsid w:val="009F1454"/>
    <w:rsid w:val="00B16D33"/>
    <w:rsid w:val="00B93E17"/>
    <w:rsid w:val="00BA1F9E"/>
    <w:rsid w:val="00C45A9E"/>
    <w:rsid w:val="00C942CC"/>
    <w:rsid w:val="00D25C43"/>
    <w:rsid w:val="00DB1BE8"/>
    <w:rsid w:val="00DF56A0"/>
    <w:rsid w:val="00F158BF"/>
    <w:rsid w:val="00FB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C6B6D-EE49-4ACD-AB28-298F2C18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B87"/>
    <w:pPr>
      <w:keepNext/>
      <w:widowControl w:val="0"/>
      <w:numPr>
        <w:numId w:val="1"/>
      </w:numPr>
      <w:spacing w:before="120" w:after="6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33B87"/>
    <w:pPr>
      <w:keepNext/>
      <w:widowControl w:val="0"/>
      <w:numPr>
        <w:ilvl w:val="1"/>
        <w:numId w:val="1"/>
      </w:numPr>
      <w:spacing w:after="60" w:line="240" w:lineRule="auto"/>
      <w:jc w:val="both"/>
      <w:outlineLvl w:val="1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3B87"/>
    <w:pPr>
      <w:keepNext/>
      <w:widowControl w:val="0"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33B87"/>
    <w:pPr>
      <w:keepNext/>
      <w:widowControl w:val="0"/>
      <w:numPr>
        <w:ilvl w:val="3"/>
        <w:numId w:val="1"/>
      </w:numPr>
      <w:spacing w:before="240" w:after="60" w:line="240" w:lineRule="auto"/>
      <w:outlineLvl w:val="3"/>
    </w:pPr>
    <w:rPr>
      <w:rFonts w:ascii="Arial Black" w:eastAsia="Times New Roman" w:hAnsi="Arial Black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33B87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Arial Black" w:eastAsia="Times New Roman" w:hAnsi="Arial Black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3B87"/>
    <w:pPr>
      <w:widowControl w:val="0"/>
      <w:numPr>
        <w:ilvl w:val="5"/>
        <w:numId w:val="1"/>
      </w:numPr>
      <w:spacing w:before="240" w:after="60" w:line="240" w:lineRule="auto"/>
      <w:outlineLvl w:val="5"/>
    </w:pPr>
    <w:rPr>
      <w:rFonts w:ascii="CG Times" w:eastAsia="Times New Roman" w:hAnsi="CG Times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33B87"/>
    <w:pPr>
      <w:widowControl w:val="0"/>
      <w:numPr>
        <w:ilvl w:val="6"/>
        <w:numId w:val="1"/>
      </w:numPr>
      <w:spacing w:before="240" w:after="60" w:line="240" w:lineRule="auto"/>
      <w:outlineLvl w:val="6"/>
    </w:pPr>
    <w:rPr>
      <w:rFonts w:ascii="Arial Black" w:eastAsia="Times New Roman" w:hAnsi="Arial Black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33B87"/>
    <w:pPr>
      <w:widowControl w:val="0"/>
      <w:numPr>
        <w:ilvl w:val="7"/>
        <w:numId w:val="1"/>
      </w:numPr>
      <w:spacing w:before="240" w:after="60" w:line="240" w:lineRule="auto"/>
      <w:outlineLvl w:val="7"/>
    </w:pPr>
    <w:rPr>
      <w:rFonts w:ascii="Arial Black" w:eastAsia="Times New Roman" w:hAnsi="Arial Black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33B87"/>
    <w:pPr>
      <w:widowControl w:val="0"/>
      <w:numPr>
        <w:ilvl w:val="8"/>
        <w:numId w:val="1"/>
      </w:numPr>
      <w:spacing w:before="240" w:after="60" w:line="240" w:lineRule="auto"/>
      <w:outlineLvl w:val="8"/>
    </w:pPr>
    <w:rPr>
      <w:rFonts w:ascii="Arial Black" w:eastAsia="Times New Roman" w:hAnsi="Arial Black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42CC"/>
    <w:rPr>
      <w:color w:val="0000FF"/>
      <w:u w:val="single"/>
    </w:rPr>
  </w:style>
  <w:style w:type="character" w:customStyle="1" w:styleId="highlight">
    <w:name w:val="highlight"/>
    <w:basedOn w:val="a0"/>
    <w:rsid w:val="00C942CC"/>
  </w:style>
  <w:style w:type="character" w:customStyle="1" w:styleId="apple-converted-space">
    <w:name w:val="apple-converted-space"/>
    <w:basedOn w:val="a0"/>
    <w:rsid w:val="00C942CC"/>
  </w:style>
  <w:style w:type="paragraph" w:customStyle="1" w:styleId="ConsNormal">
    <w:name w:val="ConsNormal"/>
    <w:rsid w:val="00C942C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C942CC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C942CC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1">
    <w:name w:val="Текст1"/>
    <w:basedOn w:val="a"/>
    <w:rsid w:val="00C942CC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ar-SA"/>
    </w:rPr>
  </w:style>
  <w:style w:type="character" w:customStyle="1" w:styleId="21">
    <w:name w:val="Основной текст (2)_"/>
    <w:basedOn w:val="a0"/>
    <w:link w:val="22"/>
    <w:rsid w:val="00C942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942CC"/>
    <w:pPr>
      <w:widowControl w:val="0"/>
      <w:shd w:val="clear" w:color="auto" w:fill="FFFFFF"/>
      <w:spacing w:after="0" w:line="307" w:lineRule="exact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 светлая1"/>
    <w:basedOn w:val="a1"/>
    <w:uiPriority w:val="40"/>
    <w:rsid w:val="00C942C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Заголовок 1 Знак"/>
    <w:basedOn w:val="a0"/>
    <w:link w:val="1"/>
    <w:uiPriority w:val="9"/>
    <w:rsid w:val="00233B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33B8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3B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3B87"/>
    <w:rPr>
      <w:rFonts w:ascii="Arial Black" w:eastAsia="Times New Roman" w:hAnsi="Arial Black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33B87"/>
    <w:rPr>
      <w:rFonts w:ascii="Arial Black" w:eastAsia="Times New Roman" w:hAnsi="Arial Black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33B87"/>
    <w:rPr>
      <w:rFonts w:ascii="CG Times" w:eastAsia="Times New Roman" w:hAnsi="CG Times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33B87"/>
    <w:rPr>
      <w:rFonts w:ascii="Arial Black" w:eastAsia="Times New Roman" w:hAnsi="Arial Black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33B87"/>
    <w:rPr>
      <w:rFonts w:ascii="Arial Black" w:eastAsia="Times New Roman" w:hAnsi="Arial Black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33B87"/>
    <w:rPr>
      <w:rFonts w:ascii="Arial Black" w:eastAsia="Times New Roman" w:hAnsi="Arial Black" w:cs="Times New Roman"/>
      <w:b/>
      <w:i/>
      <w:sz w:val="1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21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A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1F9E"/>
  </w:style>
  <w:style w:type="paragraph" w:styleId="a9">
    <w:name w:val="footer"/>
    <w:basedOn w:val="a"/>
    <w:link w:val="aa"/>
    <w:uiPriority w:val="99"/>
    <w:unhideWhenUsed/>
    <w:rsid w:val="00BA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1F9E"/>
  </w:style>
  <w:style w:type="paragraph" w:styleId="ab">
    <w:name w:val="Revision"/>
    <w:hidden/>
    <w:uiPriority w:val="99"/>
    <w:semiHidden/>
    <w:rsid w:val="00193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51186">
              <w:marLeft w:val="0"/>
              <w:marRight w:val="6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zakoni_v_rossi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2FB27-5078-4BD3-94CC-61587B35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dcterms:created xsi:type="dcterms:W3CDTF">2016-11-24T17:53:00Z</dcterms:created>
  <dcterms:modified xsi:type="dcterms:W3CDTF">2016-11-25T17:32:00Z</dcterms:modified>
</cp:coreProperties>
</file>