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</Types>
</file>

<file path=_rels/.rels><?xml version="1.0" encoding="UTF-8" standalone="yes"?>
<Relationships xmlns="http://schemas.openxmlformats.org/package/2006/relationships"><Relationship Id="rId1" Type="http://schemas.openxmlformats.org/package/2006/relationships/metadata/core-properties" Target="docProps/core.xml"/><Relationship Id="rId2" Type="http://schemas.openxmlformats.org/officeDocument/2006/relationships/extended-properties" Target="docProps/app.xml"/><Relationship Id="rId3" Type="http://schemas.openxmlformats.org/officeDocument/2006/relationships/custom-properties" Target="docProps/custom.xml"/><Relationship Id="rId4" Type="http://schemas.openxmlformats.org/officeDocument/2006/relationships/officeDocument" Target="word/document.xml"/></Relationships>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p>
      <w:pPr>
        <w:pStyle w:val="center"/>
      </w:pPr>
      <w:r>
        <w:rPr>
          <w:rStyle w:val="doc_header"/>
        </w:rPr>
        <w:t xml:space="preserve">РЕШЕНИЕ № 69197-ОТПП/1 О ПРИЗНАНИИ НЕСОСТОЯВШИМИСЯ ОТКРЫТЫХ ТОРГОВ В ФОРМЕ ПУБЛИЧНОГО ПРЕДЛОЖЕНИЯ ПО ПРОДАЖЕ ИМУЩЕСТВА</w:t>
      </w:r>
    </w:p>
    <w:p/>
    <w:p>
      <w:pPr>
        <w:pStyle w:val=""/>
      </w:pPr>
      <w:r>
        <w:rPr>
          <w:rStyle w:val=""/>
        </w:rPr>
        <w:t xml:space="preserve">06.10.2026 г.</w:t>
      </w:r>
    </w:p>
    <w:p/>
    <w:tbl>
      <w:tblGrid>
        <w:gridCol w:w="4000" w:type="dxa"/>
        <w:gridCol w:w="6000" w:type="dxa"/>
      </w:tblGrid>
      <w:tblPr>
        <w:tblStyle w:val="noborder"/>
      </w:tblPr>
      <w:tr>
        <w:trPr/>
        <w:tc>
          <w:tcPr>
            <w:tcW w:w="10000" w:type="dxa"/>
            <w:vAlign w:val="center"/>
            <w:gridSpan w:val="2"/>
          </w:tcPr>
          <w:p>
            <w:pPr>
              <w:pStyle w:val=""/>
            </w:pPr>
            <w:r>
              <w:rPr>
                <w:rStyle w:val="table_header"/>
              </w:rPr>
              <w:t xml:space="preserve">Организатор торгов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ФИО: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Регер Ирина Владимировна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ИНН: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392001461081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Телефон/факс: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+7 499 938 9575</w:t>
            </w:r>
          </w:p>
        </w:tc>
      </w:tr>
      <w:tr>
        <w:trPr/>
        <w:tc>
          <w:tcPr>
            <w:tcW w:w="10000" w:type="dxa"/>
            <w:vAlign w:val="center"/>
            <w:gridSpan w:val="2"/>
          </w:tcPr>
          <w:p/>
        </w:tc>
      </w:tr>
      <w:tr>
        <w:trPr/>
        <w:tc>
          <w:tcPr>
            <w:tcW w:w="10000" w:type="dxa"/>
            <w:vAlign w:val="center"/>
            <w:gridSpan w:val="2"/>
          </w:tcPr>
          <w:p>
            <w:pPr>
              <w:pStyle w:val=""/>
            </w:pPr>
            <w:r>
              <w:rPr>
                <w:rStyle w:val="table_header"/>
              </w:rPr>
              <w:t xml:space="preserve">Сведения о должнике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ФИО: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Михайлова Ольга Николаевна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ИНН: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621901247011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Адрес: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Рязанская область, Скопинский район, с. Успенское, ул. 60-летие Победы, д. 1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Номер дела: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А54-4656/2025</w:t>
            </w:r>
          </w:p>
        </w:tc>
      </w:tr>
      <w:tr>
        <w:trPr/>
        <w:tc>
          <w:tcPr>
            <w:tcW w:w="10000" w:type="dxa"/>
            <w:vAlign w:val="center"/>
            <w:gridSpan w:val="2"/>
          </w:tcPr>
          <w:p/>
        </w:tc>
      </w:tr>
      <w:tr>
        <w:trPr/>
        <w:tc>
          <w:tcPr>
            <w:tcW w:w="10000" w:type="dxa"/>
            <w:vAlign w:val="center"/>
            <w:gridSpan w:val="2"/>
          </w:tcPr>
          <w:p>
            <w:pPr>
              <w:pStyle w:val=""/>
            </w:pPr>
            <w:r>
              <w:rPr>
                <w:rStyle w:val="table_header"/>
              </w:rPr>
              <w:t xml:space="preserve">Информация о торгах и лоте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Тип торгов: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Публичное предложение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Код торгов: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69197-ОТПП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Дата начала приема заявок: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20.08.2026 00:00:00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Дата окончания приема заявок: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04.10.2026 00:00:00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Номер лота: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1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Наименование имущества: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Нежилое здание (склад), кадастровый номер: 62:19:1260101:718, площадью 49 кв.м, местоположение: Рязанская обл., Скопинский р-н, с.Успенское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Сведения об имуществе: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Нежилое здание (склад), кадастровый номер: 62:19:1260101:718, площадью 49 кв.м, местоположение: Рязанская обл., Скопинский р-н, с.Успенское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Стартовая цена продажи имущества: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181 080.00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Порядок и критерии определения победителя торгов: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Право приобретения имущества должника принадлежит участнику торгов по продаже имущества должника посредством публичного предложения, который представил в установленный срок заявку на участие в торгах, содержащую предложение о цене имущества должника, которая не ниже начальной цены продажи имущества должника, установленной для определенного периода проведения торгов, при отсутствии предложений других участников торгов по продаже имущества должника посредством публичного предложения. В случае, если несколько участников торгов по продаже имущества должника посредством публичного предложения представили в установленный срок заявки, содержащие различные предложения о цене имущества должника, но не ниже начальной цены продажи имущества должника, установленной для определенного периода проведения торгов, право приобретения имущества должника принадлежит участнику торгов, предложившему максимальную цену за это имущество. В случае, если несколько участников торгов по продаже имущества должника посредством публичного предложения представили в установленный срок заявки, содержащие равные предложения о цене имущества должника, но не ниже начальной цены продажи имущества должника, установленной для определенного периода проведения торгов, право приобретения имущества должника принадлежит участнику торгов, который первым представил в установленный срок заявку на участие в торгах по продаже имущества должника посредством публичного предложения.</w:t>
            </w:r>
          </w:p>
        </w:tc>
      </w:tr>
      <w:tr>
        <w:trPr/>
        <w:tc>
          <w:tcPr>
            <w:tcW w:w="10000" w:type="dxa"/>
            <w:vAlign w:val="center"/>
            <w:gridSpan w:val="2"/>
          </w:tcPr>
          <w:p/>
        </w:tc>
      </w:tr>
      <w:tr>
        <w:trPr/>
        <w:tc>
          <w:tcPr>
            <w:tcW w:w="10000" w:type="dxa"/>
            <w:vAlign w:val="center"/>
            <w:gridSpan w:val="2"/>
          </w:tcPr>
          <w:p>
            <w:pPr>
              <w:pStyle w:val=""/>
            </w:pPr>
            <w:r>
              <w:rPr>
                <w:rStyle w:val="table_header"/>
              </w:rPr>
              <w:t xml:space="preserve">Интервалы снижения для лота</w:t>
            </w:r>
          </w:p>
        </w:tc>
      </w:tr>
      <w:tr>
        <w:trPr/>
        <w:tc>
          <w:tcPr>
            <w:tcW w:w="10000" w:type="dxa"/>
            <w:vAlign w:val="center"/>
            <w:gridSpan w:val="2"/>
          </w:tcPr>
          <w:tbl>
            <w:tblGrid>
              <w:gridCol w:w="4000" w:type="dxa"/>
              <w:gridCol w:w="4000" w:type="dxa"/>
              <w:gridCol w:w="4000" w:type="dxa"/>
              <w:gridCol w:w="4000" w:type="dxa"/>
            </w:tblGrid>
            <w:tblPr>
              <w:tblStyle w:val="border"/>
            </w:tblPr>
            <w:tr>
              <w:trPr/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  <w:shd w:val="clear" w:color="" w:fill="cdd1da"/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Начало приема заявок на интервале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  <w:shd w:val="clear" w:color="" w:fill="cdd1da"/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Окончание приема заявок на интервале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  <w:shd w:val="clear" w:color="" w:fill="cdd1da"/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Задаток на интервале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  <w:shd w:val="clear" w:color="" w:fill="cdd1da"/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Цена на интервале</w:t>
                  </w:r>
                </w:p>
              </w:tc>
            </w:tr>
            <w:tr>
              <w:trPr/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20.08.2026 00:00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25.08.2026 00:00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36 216.00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181 080.00</w:t>
                  </w:r>
                </w:p>
              </w:tc>
            </w:tr>
            <w:tr>
              <w:trPr/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25.08.2026 00:00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30.08.2026 00:00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32 594.40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162 972.00</w:t>
                  </w:r>
                </w:p>
              </w:tc>
            </w:tr>
            <w:tr>
              <w:trPr/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30.08.2026 00:00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04.09.2026 00:00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28 972.80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144 864.00</w:t>
                  </w:r>
                </w:p>
              </w:tc>
            </w:tr>
            <w:tr>
              <w:trPr/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04.09.2026 00:00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09.09.2026 00:00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25 351.20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126 756.00</w:t>
                  </w:r>
                </w:p>
              </w:tc>
            </w:tr>
            <w:tr>
              <w:trPr/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09.09.2026 00:00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14.09.2026 00:00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21 729.60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108 648.00</w:t>
                  </w:r>
                </w:p>
              </w:tc>
            </w:tr>
            <w:tr>
              <w:trPr/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14.09.2026 00:00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19.09.2026 00:00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18 108.00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90 540.00</w:t>
                  </w:r>
                </w:p>
              </w:tc>
            </w:tr>
            <w:tr>
              <w:trPr/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19.09.2026 00:00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24.09.2026 00:00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14 486.40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72 432.00</w:t>
                  </w:r>
                </w:p>
              </w:tc>
            </w:tr>
            <w:tr>
              <w:trPr/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24.09.2026 00:00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29.09.2026 00:00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10 864.80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54 324.00</w:t>
                  </w:r>
                </w:p>
              </w:tc>
            </w:tr>
            <w:tr>
              <w:trPr/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29.09.2026 00:00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04.10.2026 00:00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7 243.20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36 216.00</w:t>
                  </w:r>
                </w:p>
              </w:tc>
            </w:tr>
          </w:tbl>
          <w:p/>
        </w:tc>
      </w:tr>
      <w:tr>
        <w:trPr/>
        <w:tc>
          <w:tcPr>
            <w:tcW w:w="10000" w:type="dxa"/>
            <w:vAlign w:val="center"/>
            <w:gridSpan w:val="2"/>
          </w:tcPr>
          <w:p/>
        </w:tc>
      </w:tr>
      <w:tr>
        <w:trPr/>
        <w:tc>
          <w:tcPr>
            <w:tcW w:w="10000" w:type="dxa"/>
            <w:vAlign w:val="center"/>
            <w:gridSpan w:val="2"/>
          </w:tcPr>
          <w:p>
            <w:pPr>
              <w:pStyle w:val=""/>
            </w:pPr>
            <w:r>
              <w:rPr>
                <w:rStyle w:val="table_header"/>
              </w:rPr>
              <w:t xml:space="preserve">Перечень допущенных участников (на первом интервале с допущенными заявками)</w:t>
            </w:r>
          </w:p>
        </w:tc>
      </w:tr>
      <w:tr>
        <w:trPr/>
        <w:tc>
          <w:tcPr>
            <w:tcW w:w="10000" w:type="dxa"/>
            <w:vAlign w:val="center"/>
            <w:gridSpan w:val="2"/>
          </w:tcPr>
          <w:p>
            <w:pPr>
              <w:pStyle w:val=""/>
            </w:pPr>
            <w:r>
              <w:rPr>
                <w:rStyle w:val=""/>
              </w:rPr>
              <w:t xml:space="preserve">Допущенные заявки отсутствуют</w:t>
            </w:r>
          </w:p>
        </w:tc>
      </w:tr>
      <w:tr>
        <w:trPr/>
        <w:tc>
          <w:tcPr>
            <w:tcW w:w="10000" w:type="dxa"/>
            <w:vAlign w:val="center"/>
            <w:gridSpan w:val="2"/>
          </w:tcPr>
          <w:p/>
        </w:tc>
      </w:tr>
      <w:tr>
        <w:trPr/>
        <w:tc>
          <w:tcPr>
            <w:tcW w:w="10000" w:type="dxa"/>
            <w:vAlign w:val="center"/>
            <w:gridSpan w:val="2"/>
          </w:tcPr>
          <w:p>
            <w:pPr>
              <w:pStyle w:val=""/>
            </w:pPr>
            <w:r>
              <w:rPr>
                <w:rStyle w:val="table_header"/>
              </w:rPr>
              <w:t xml:space="preserve">Ценовые предложения, поданные в ходе торгов</w:t>
            </w:r>
          </w:p>
        </w:tc>
      </w:tr>
      <w:tr>
        <w:trPr/>
        <w:tc>
          <w:tcPr>
            <w:tcW w:w="10000" w:type="dxa"/>
            <w:vAlign w:val="center"/>
            <w:gridSpan w:val="2"/>
          </w:tcPr>
          <w:p>
            <w:pPr>
              <w:pStyle w:val=""/>
            </w:pPr>
            <w:r>
              <w:rPr>
                <w:rStyle w:val=""/>
              </w:rPr>
              <w:t xml:space="preserve">Ценовых предложений на этот лот не подано</w:t>
            </w:r>
          </w:p>
        </w:tc>
      </w:tr>
      <w:tr>
        <w:trPr/>
        <w:tc>
          <w:tcPr>
            <w:tcW w:w="10000" w:type="dxa"/>
            <w:vAlign w:val="center"/>
            <w:gridSpan w:val="2"/>
          </w:tcPr>
          <w:p/>
        </w:tc>
      </w:tr>
      <w:tr>
        <w:trPr/>
        <w:tc>
          <w:tcPr>
            <w:tcW w:w="10000" w:type="dxa"/>
            <w:vAlign w:val="center"/>
            <w:gridSpan w:val="2"/>
          </w:tcPr>
          <w:p>
            <w:pPr>
              <w:pStyle w:val=""/>
            </w:pPr>
            <w:r>
              <w:rPr>
                <w:rStyle w:val="table_header"/>
              </w:rPr>
              <w:t xml:space="preserve">Результаты торгов</w:t>
            </w:r>
          </w:p>
        </w:tc>
      </w:tr>
      <w:tr>
        <w:trPr/>
        <w:tc>
          <w:tcPr>
            <w:tcW w:w="10000" w:type="dxa"/>
            <w:vAlign w:val="center"/>
            <w:gridSpan w:val="2"/>
          </w:tcPr>
          <w:p>
            <w:pPr>
              <w:pStyle w:val=""/>
            </w:pPr>
            <w:r>
              <w:rPr>
                <w:rStyle w:val=""/>
              </w:rPr>
              <w:t xml:space="preserve">В связи с тем, что не было представлено ни одной заявки на участие в торгах, организатором торгов принято решение о признании торгов несостоявшимися.</w:t>
            </w:r>
          </w:p>
        </w:tc>
      </w:tr>
      <w:tr>
        <w:trPr/>
        <w:tc>
          <w:tcPr>
            <w:tcW w:w="10000" w:type="dxa"/>
            <w:vAlign w:val="center"/>
            <w:gridSpan w:val="2"/>
          </w:tcPr>
          <w:p/>
        </w:tc>
      </w:tr>
    </w:tbl>
    <w:p>
      <w:pPr>
        <w:pStyle w:val=""/>
      </w:pPr>
      <w:r>
        <w:rPr>
          <w:rStyle w:val=""/>
        </w:rPr>
        <w:t xml:space="preserve"/>
      </w:r>
    </w:p>
    <w:p/>
    <w:p/>
    <w:p>
      <w:pPr>
        <w:pStyle w:val=""/>
      </w:pPr>
      <w:r>
        <w:rPr>
          <w:rStyle w:val=""/>
        </w:rPr>
        <w:t xml:space="preserve">Протокол подписан организатором торгов</w:t>
      </w:r>
    </w:p>
    <w:sectPr>
      <w:pgSz w:orient="portrait" w:w="11870" w:h="16787"/>
      <w:pgMar w:top="850" w:right="850" w:bottom="1440" w:left="850" w:header="720" w:footer="720" w:gutter="0"/>
      <w:cols w:num="1" w:space="720"/>
    </w:sectPr>
  </w:body>
</w:document>
</file>

<file path=word/fontTable.xml><?xml version="1.0" encoding="utf-8"?>
<w:fonts xmlns:r="http://schemas.openxmlformats.org/officeDocument/2006/relationships" xmlns:w="http://schemas.openxmlformats.org/wordprocessingml/2006/main">
  <w:font w:name="Times New Roman">
    <w:panose1 w:val="02020603050405020304"/>
    <w:charset w:val="00"/>
    <w:family w:val="roman"/>
    <w:pitch w:val="variable"/>
    <w:sig w:usb0="E0002AFF" w:usb1="C0007841" w:usb2="00000009" w:usb3="00000000" w:csb0="000001F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Arial">
    <w:panose1 w:val="020B0604020202020204"/>
    <w:charset w:val="00"/>
    <w:family w:val="swiss"/>
    <w:pitch w:val="variable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A00002EF" w:usb1="4000004B" w:usb2="00000000" w:usb3="00000000" w:csb0="0000019F" w:csb1="00000000"/>
  </w:font>
  <w:font w:name="Calibri">
    <w:panose1 w:val="020F0502020204030204"/>
    <w:charset w:val="00"/>
    <w:family w:val="swiss"/>
    <w:pitch w:val="variable"/>
    <w:sig w:usb0="E10002FF" w:usb1="4000ACFF" w:usb2="00000009" w:usb3="00000000" w:csb0="0000019F" w:csb1="00000000"/>
  </w:font>
</w:fonts>
</file>

<file path=word/numbering.xml><?xml version="1.0" encoding="utf-8"?>
<w:numbering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settings.xml><?xml version="1.0" encoding="utf-8"?>
<w:settings xmlns:r="http://schemas.openxmlformats.org/officeDocument/2006/relationships" xmlns:w="http://schemas.openxmlformats.org/wordprocessingml/2006/main" xmlns:m="http://schemas.openxmlformats.org/officeDocument/2006/math" xmlns:sl="http://schemas.openxmlformats.org/schemaLibrary/2006/main" xmlns:o="urn:schemas-microsoft-com:office:office" xmlns:v="urn:schemas-microsoft-com:vml" xmlns:w10="urn:schemas-microsoft-com:office:word">
  <w:zoom w:percent="100"/>
  <w:defaultTabStop w:val="708"/>
  <w:hyphenationZone w:val="425"/>
  <w:characterSpacingControl w:val="doNotCompress"/>
  <w:themeFontLang w:val="en-US"/>
  <w:decimalSymbol w:val="."/>
  <w:listSeparator w:val=";"/>
  <w:compat>
    <w:compatSetting w:name="compatibilityMode" w:uri="http://schemas.microsoft.com/office/word" w:val="12"/>
  </w:compat>
  <m:mathPr>
    <m:mathFont m:val="Cambria Math"/>
    <m:brkBin m:val="before"/>
    <m:brkBinSub m:val="--"/>
    <m:smallFrac m:val="off"/>
    <m:dispDef/>
    <m:lMargin m:val="0"/>
    <m:rMargin m:val="0"/>
    <m:defJc m:val="centerGroup"/>
    <m:wrapIndent m:val="1440"/>
    <m:intLim m:val="subSup"/>
    <m:naryLim m:val="undOvr"/>
  </m:mathPr>
  <w:clrSchemeMapping w:bg1="light1" w:t1="dark1" w:bg2="light2" w:t2="dark2" w:accent1="accent1" w:accent2="accent2" w:accent3="accent3" w:accent4="accent4" w:accent5="accent5" w:accent6="accent6" w:hyperlink="hyperlink" w:followedHyperlink="followedHyperlink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="Times New Roman" w:hAnsi="Times New Roman" w:eastAsia="Times New Roman" w:cs="Times New Roman"/>
        <w:sz w:val="26"/>
        <w:szCs w:val="26"/>
      </w:rPr>
    </w:rPrDefault>
  </w:docDefaults>
  <w:style w:type="paragraph" w:default="1" w:styleId="Normal">
    <w:name w:val="Normal"/>
    <w:pPr>
      <w:jc w:val="left"/>
      <w:ind w:left="0" w:right="0"/>
      <w:spacing w:after="0"/>
    </w:pPr>
  </w:style>
  <w:style w:type="character" w:styleId="FootnoteReference">
    <w:name w:val="Footnote Reference"/>
    <w:semiHidden/>
    <w:unhideWhenUsed/>
    <w:rPr>
      <w:vertAlign w:val="superscript"/>
    </w:rPr>
  </w:style>
  <w:style w:type="paragraph" w:customStyle="1" w:styleId="center">
    <w:name w:val="center"/>
    <w:basedOn w:val="Normal"/>
    <w:pPr>
      <w:jc w:val="center"/>
      <w:spacing w:after="0"/>
    </w:pPr>
  </w:style>
  <w:style w:type="character">
    <w:name w:val="doc_header"/>
    <w:rPr>
      <w:sz w:val="24"/>
      <w:szCs w:val="24"/>
      <w:b/>
      <w:caps/>
    </w:rPr>
  </w:style>
  <w:style w:type="character">
    <w:name w:val="bold"/>
    <w:rPr>
      <w:b/>
    </w:rPr>
  </w:style>
  <w:style w:type="character">
    <w:name w:val="table_header"/>
    <w:rPr>
      <w:color w:val="BE1E2D"/>
    </w:rPr>
  </w:style>
  <w:style w:type="table" w:customStyle="1" w:styleId="noborder">
    <w:name w:val="noborder"/>
    <w:uiPriority w:val="99"/>
    <w:tblPr>
      <w:jc w:val="left"/>
      <w:tblW w:w="100" w:type="auto"/>
      <w:tblCellMar>
        <w:top w:w="10" w:type="dxa"/>
        <w:left w:w="10" w:type="dxa"/>
        <w:right w:w="10" w:type="dxa"/>
        <w:bottom w:w="10" w:type="dxa"/>
      </w:tblCellMar>
    </w:tblPr>
  </w:style>
  <w:style w:type="table" w:customStyle="1" w:styleId="border">
    <w:name w:val="border"/>
    <w:uiPriority w:val="99"/>
    <w:tblPr>
      <w:jc w:val="left"/>
      <w:tblW w:w="100" w:type="auto"/>
      <w:tblCellMar>
        <w:top w:w="50" w:type="dxa"/>
        <w:left w:w="50" w:type="dxa"/>
        <w:right w:w="50" w:type="dxa"/>
        <w:bottom w:w="50" w:type="dxa"/>
      </w:tblCellMar>
    </w:tblPr>
  </w:style>
</w:styles>
</file>

<file path=word/webSettings.xml><?xml version="1.0" encoding="utf-8"?>
<w:webSettings xmlns:r="http://schemas.openxmlformats.org/officeDocument/2006/relationships" xmlns:w="http://schemas.openxmlformats.org/wordprocessingml/2006/main">
  <w:optimizeForBrowser/>
</w:webSettings>
</file>

<file path=word/_rels/document.xml.rels><?xml version="1.0" encoding="UTF-8" standalone="yes"?>
<Relationships xmlns="http://schemas.openxmlformats.org/package/2006/relationships"><Relationship Id="rId1" Type="http://schemas.openxmlformats.org/officeDocument/2006/relationships/styles" Target="styles.xml"/><Relationship Id="rId2" Type="http://schemas.openxmlformats.org/officeDocument/2006/relationships/numbering" Target="numbering.xml"/><Relationship Id="rId3" Type="http://schemas.openxmlformats.org/officeDocument/2006/relationships/settings" Target="settings.xml"/><Relationship Id="rId4" Type="http://schemas.openxmlformats.org/officeDocument/2006/relationships/theme" Target="theme/theme1.xml"/><Relationship Id="rId5" Type="http://schemas.openxmlformats.org/officeDocument/2006/relationships/webSettings" Target="webSettings.xml"/><Relationship Id="rId6" Type="http://schemas.openxmlformats.org/officeDocument/2006/relationships/fontTable" Target="fontTable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Application>PHPWord</Application>
  <Company/>
  <Manager/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/>
  <dc:title/>
  <dc:description/>
  <dc:subject/>
  <cp:keywords/>
  <cp:category/>
  <cp:lastModifiedBy/>
  <dcterms:created xsi:type="dcterms:W3CDTF">2026-10-06T08:26:08+03:00</dcterms:created>
  <dcterms:modified xsi:type="dcterms:W3CDTF">2026-10-06T08:26:08+03:00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