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№457165, дата государственной регистрации: 21.03.2012 г., срок действия исключительных прав 15.02.2031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498 144.00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