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№457164, дата государственной регистрации: 21.03.2012 г., срок действия исключительных прав 15.02.2031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498 144.00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