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№458729, дата государственной регистрации: 06.04.2012 г., срок действия исключительных прав 24.09.2030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436 137.00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21 806.85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