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90354, дата государственной регистрации: 01.10.2009 г., срок действия исключительных прав 11.04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