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354, дата государственной регистрации: 01.10.2009 г., срок действия исключительных прав 11.04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