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№711405, дата государственной регистрации: 15.05.2019 г., срок действия исключительных прав 24.09.2028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13 992.75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