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№725539, дата государственной регистрации: 03.09.2019 г., срок действия исключительных прав 16.04.2028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309 782.00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