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№314089, дата государственной регистрации: 26.09.2006 г., срок действия исключительных прав 25.04.2035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555 609.00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27 780.45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