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№711406, дата государственной регистрации: 15.05.2019 г., срок действия исключительных прав 24.09.2028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