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№477195, дата государственной регистрации: 24.12.2012 г., срок действия исключительных прав 24.10.2031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