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№487300, дата государственной регистрации: 20.05.2013 г., срок действия исключительных прав 16.09.2031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435 317.00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21 765.85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