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63244-ОТПП/1</w:t>
      </w:r>
    </w:p>
    <w:p/>
    <w:p>
      <w:pPr>
        <w:pStyle w:val=""/>
      </w:pPr>
      <w:r>
        <w:rPr>
          <w:rStyle w:val=""/>
        </w:rPr>
        <w:t xml:space="preserve">25.04.2026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Огородников Александр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434510777120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Киров, ул. Рухлядьева, д. 3,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А28-3204/2024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ВАЗ 21112, 2007 г.в., VIN: XTA21112070269125, кузов № XTA21112070269125, цвет Белый (светло-серебристый металл), Рабочий объем (см³): 1596 Мощность (кВт/л.с.): 59/80.0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ВАЗ 21112, 2007 г.в., VIN: XTA21112070269125, кузов № XTA21112070269125, цвет Белый (светло-серебристый металл), Рабочий объем (см³): 1596 Мощность (кВт/л.с.): 59/80.0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111 600.00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2026-04-25T10:19:40+03:00</dcterms:created>
  <dcterms:modified xsi:type="dcterms:W3CDTF">2026-04-25T10:19:40+03:00</dcterms:modified>
</cp:coreProperties>
</file>

<file path=docProps/custom.xml><?xml version="1.0" encoding="utf-8"?>
<Properties xmlns="http://schemas.openxmlformats.org/officeDocument/2006/custom-properties" xmlns:vt="http://schemas.openxmlformats.org/officeDocument/2006/docPropsVTypes"/>
</file>