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center"/>
      </w:pPr>
      <w:r>
        <w:rPr>
          <w:rStyle w:val="doc_header"/>
        </w:rPr>
        <w:t xml:space="preserve">ПРОТОКОЛ ОБ ОПРЕДЕЛЕНИИ УЧАСТНИКОВ ТОРГОВ № 62841-ОТПП/5</w:t>
      </w:r>
    </w:p>
    <w:p/>
    <w:p>
      <w:pPr>
        <w:pStyle w:val=""/>
      </w:pPr>
      <w:r>
        <w:rPr>
          <w:rStyle w:val=""/>
        </w:rPr>
        <w:t xml:space="preserve">06.05.2026 г.</w:t>
      </w:r>
    </w:p>
    <w:p/>
    <w:tbl>
      <w:tblGrid>
        <w:gridCol w:w="4000" w:type="dxa"/>
        <w:gridCol w:w="6000" w:type="dxa"/>
      </w:tblGrid>
      <w:tblPr>
        <w:tblStyle w:val="noborder"/>
      </w:tblPr>
      <w:tr>
        <w:trPr/>
        <w:tc>
          <w:tcPr>
            <w:tcW w:w="10000" w:type="dxa"/>
            <w:vAlign w:val="center"/>
            <w:gridSpan w:val="2"/>
          </w:tcPr>
          <w:p>
            <w:pPr>
              <w:pStyle w:val=""/>
            </w:pPr>
            <w:r>
              <w:rPr>
                <w:rStyle w:val="table_header"/>
              </w:rPr>
              <w:t xml:space="preserve">Организатор торгов</w:t>
            </w:r>
          </w:p>
        </w:tc>
      </w:tr>
      <w:tr>
        <w:trPr/>
        <w:tc>
          <w:tcPr>
            <w:tcW w:w="4000" w:type="dxa"/>
            <w:vAlign w:val="center"/>
          </w:tcPr>
          <w:p>
            <w:pPr>
              <w:pStyle w:val=""/>
            </w:pPr>
            <w:r>
              <w:rPr>
                <w:rStyle w:val=""/>
              </w:rPr>
              <w:t xml:space="preserve">ФИО:</w:t>
            </w:r>
          </w:p>
        </w:tc>
        <w:tc>
          <w:tcPr>
            <w:tcW w:w="6000" w:type="dxa"/>
            <w:vAlign w:val="center"/>
          </w:tcPr>
          <w:p>
            <w:pPr>
              <w:pStyle w:val=""/>
            </w:pPr>
            <w:r>
              <w:rPr>
                <w:rStyle w:val=""/>
              </w:rPr>
              <w:t xml:space="preserve">Брычков Михаил Валерьевич</w:t>
            </w:r>
          </w:p>
        </w:tc>
      </w:tr>
      <w:tr>
        <w:trPr/>
        <w:tc>
          <w:tcPr>
            <w:tcW w:w="4000" w:type="dxa"/>
            <w:vAlign w:val="center"/>
          </w:tcPr>
          <w:p>
            <w:pPr>
              <w:pStyle w:val=""/>
            </w:pPr>
            <w:r>
              <w:rPr>
                <w:rStyle w:val=""/>
              </w:rPr>
              <w:t xml:space="preserve">ИНН:</w:t>
            </w:r>
          </w:p>
        </w:tc>
        <w:tc>
          <w:tcPr>
            <w:tcW w:w="6000" w:type="dxa"/>
            <w:vAlign w:val="center"/>
          </w:tcPr>
          <w:p>
            <w:pPr>
              <w:pStyle w:val=""/>
            </w:pPr>
            <w:r>
              <w:rPr>
                <w:rStyle w:val=""/>
              </w:rPr>
              <w:t xml:space="preserve">575102697807</w:t>
            </w:r>
          </w:p>
        </w:tc>
      </w:tr>
      <w:tr>
        <w:trPr/>
        <w:tc>
          <w:tcPr>
            <w:tcW w:w="4000" w:type="dxa"/>
            <w:vAlign w:val="center"/>
          </w:tcPr>
          <w:p>
            <w:pPr>
              <w:pStyle w:val=""/>
            </w:pPr>
            <w:r>
              <w:rPr>
                <w:rStyle w:val=""/>
              </w:rPr>
              <w:t xml:space="preserve">Телефон/факс:</w:t>
            </w:r>
          </w:p>
        </w:tc>
        <w:tc>
          <w:tcPr>
            <w:tcW w:w="6000" w:type="dxa"/>
            <w:vAlign w:val="center"/>
          </w:tcPr>
          <w:p>
            <w:pPr>
              <w:pStyle w:val=""/>
            </w:pPr>
            <w:r>
              <w:rPr>
                <w:rStyle w:val=""/>
              </w:rPr>
              <w:t xml:space="preserve">89103079990</w:t>
            </w:r>
          </w:p>
        </w:tc>
      </w:tr>
      <w:tr>
        <w:trPr/>
        <w:tc>
          <w:tcPr>
            <w:tcW w:w="10000" w:type="dxa"/>
            <w:vAlign w:val="center"/>
            <w:gridSpan w:val="2"/>
          </w:tcPr>
          <w:p/>
        </w:tc>
      </w:tr>
      <w:tr>
        <w:trPr/>
        <w:tc>
          <w:tcPr>
            <w:tcW w:w="10000" w:type="dxa"/>
            <w:vAlign w:val="center"/>
            <w:gridSpan w:val="2"/>
          </w:tcPr>
          <w:p>
            <w:pPr>
              <w:pStyle w:val=""/>
            </w:pPr>
            <w:r>
              <w:rPr>
                <w:rStyle w:val="table_header"/>
              </w:rPr>
              <w:t xml:space="preserve">Сведения о должнике</w:t>
            </w:r>
          </w:p>
        </w:tc>
      </w:tr>
      <w:tr>
        <w:trPr/>
        <w:tc>
          <w:tcPr>
            <w:tcW w:w="4000" w:type="dxa"/>
            <w:vAlign w:val="center"/>
          </w:tcPr>
          <w:p>
            <w:pPr>
              <w:pStyle w:val=""/>
            </w:pPr>
            <w:r>
              <w:rPr>
                <w:rStyle w:val=""/>
              </w:rPr>
              <w:t xml:space="preserve">Наименование:</w:t>
            </w:r>
          </w:p>
        </w:tc>
        <w:tc>
          <w:tcPr>
            <w:tcW w:w="6000" w:type="dxa"/>
            <w:vAlign w:val="center"/>
          </w:tcPr>
          <w:p>
            <w:pPr>
              <w:pStyle w:val=""/>
            </w:pPr>
            <w:r>
              <w:rPr>
                <w:rStyle w:val=""/>
              </w:rPr>
              <w:t xml:space="preserve">Общество  с ограниченной ответственностью «РегионСпецАвто»</w:t>
            </w:r>
          </w:p>
        </w:tc>
      </w:tr>
      <w:tr>
        <w:trPr/>
        <w:tc>
          <w:tcPr>
            <w:tcW w:w="4000" w:type="dxa"/>
            <w:vAlign w:val="center"/>
          </w:tcPr>
          <w:p>
            <w:pPr>
              <w:pStyle w:val=""/>
            </w:pPr>
            <w:r>
              <w:rPr>
                <w:rStyle w:val=""/>
              </w:rPr>
              <w:t xml:space="preserve">ИНН:</w:t>
            </w:r>
          </w:p>
        </w:tc>
        <w:tc>
          <w:tcPr>
            <w:tcW w:w="6000" w:type="dxa"/>
            <w:vAlign w:val="center"/>
          </w:tcPr>
          <w:p>
            <w:pPr>
              <w:pStyle w:val=""/>
            </w:pPr>
            <w:r>
              <w:rPr>
                <w:rStyle w:val=""/>
              </w:rPr>
              <w:t xml:space="preserve">6318182667</w:t>
            </w:r>
          </w:p>
        </w:tc>
      </w:tr>
      <w:tr>
        <w:trPr/>
        <w:tc>
          <w:tcPr>
            <w:tcW w:w="4000" w:type="dxa"/>
            <w:vAlign w:val="center"/>
          </w:tcPr>
          <w:p>
            <w:pPr>
              <w:pStyle w:val=""/>
            </w:pPr>
            <w:r>
              <w:rPr>
                <w:rStyle w:val=""/>
              </w:rPr>
              <w:t xml:space="preserve">Адрес:</w:t>
            </w:r>
          </w:p>
        </w:tc>
        <w:tc>
          <w:tcPr>
            <w:tcW w:w="6000" w:type="dxa"/>
            <w:vAlign w:val="center"/>
          </w:tcPr>
          <w:p>
            <w:pPr>
              <w:pStyle w:val=""/>
            </w:pPr>
            <w:r>
              <w:rPr>
                <w:rStyle w:val=""/>
              </w:rPr>
              <w:t xml:space="preserve">443028, Самарская обл., г. Самара, пос. Козелки, тер. Автобаза 2-я</w:t>
            </w:r>
          </w:p>
        </w:tc>
      </w:tr>
      <w:tr>
        <w:trPr/>
        <w:tc>
          <w:tcPr>
            <w:tcW w:w="4000" w:type="dxa"/>
            <w:vAlign w:val="center"/>
          </w:tcPr>
          <w:p>
            <w:pPr>
              <w:pStyle w:val=""/>
            </w:pPr>
            <w:r>
              <w:rPr>
                <w:rStyle w:val=""/>
              </w:rPr>
              <w:t xml:space="preserve">Номер дела:</w:t>
            </w:r>
          </w:p>
        </w:tc>
        <w:tc>
          <w:tcPr>
            <w:tcW w:w="6000" w:type="dxa"/>
            <w:vAlign w:val="center"/>
          </w:tcPr>
          <w:p>
            <w:pPr>
              <w:pStyle w:val=""/>
            </w:pPr>
            <w:r>
              <w:rPr>
                <w:rStyle w:val=""/>
              </w:rPr>
              <w:t xml:space="preserve">А55-15233/2021</w:t>
            </w:r>
          </w:p>
        </w:tc>
      </w:tr>
      <w:tr>
        <w:trPr/>
        <w:tc>
          <w:tcPr>
            <w:tcW w:w="10000" w:type="dxa"/>
            <w:vAlign w:val="center"/>
            <w:gridSpan w:val="2"/>
          </w:tcPr>
          <w:p/>
        </w:tc>
      </w:tr>
      <w:tr>
        <w:trPr/>
        <w:tc>
          <w:tcPr>
            <w:tcW w:w="10000" w:type="dxa"/>
            <w:vAlign w:val="center"/>
            <w:gridSpan w:val="2"/>
          </w:tcPr>
          <w:p>
            <w:pPr>
              <w:pStyle w:val=""/>
            </w:pPr>
            <w:r>
              <w:rPr>
                <w:rStyle w:val="table_header"/>
              </w:rPr>
              <w:t xml:space="preserve">Информация о торгах и лоте</w:t>
            </w:r>
          </w:p>
        </w:tc>
      </w:tr>
      <w:tr>
        <w:trPr/>
        <w:tc>
          <w:tcPr>
            <w:tcW w:w="4000" w:type="dxa"/>
            <w:vAlign w:val="center"/>
          </w:tcPr>
          <w:p>
            <w:pPr>
              <w:pStyle w:val=""/>
            </w:pPr>
            <w:r>
              <w:rPr>
                <w:rStyle w:val=""/>
              </w:rPr>
              <w:t xml:space="preserve">Тип торгов:</w:t>
            </w:r>
          </w:p>
        </w:tc>
        <w:tc>
          <w:tcPr>
            <w:tcW w:w="6000" w:type="dxa"/>
            <w:vAlign w:val="center"/>
          </w:tcPr>
          <w:p>
            <w:pPr>
              <w:pStyle w:val=""/>
            </w:pPr>
            <w:r>
              <w:rPr>
                <w:rStyle w:val=""/>
              </w:rPr>
              <w:t xml:space="preserve">Публичное предложение</w:t>
            </w:r>
          </w:p>
        </w:tc>
      </w:tr>
      <w:tr>
        <w:trPr/>
        <w:tc>
          <w:tcPr>
            <w:tcW w:w="4000" w:type="dxa"/>
            <w:vAlign w:val="center"/>
          </w:tcPr>
          <w:p>
            <w:pPr>
              <w:pStyle w:val=""/>
            </w:pPr>
            <w:r>
              <w:rPr>
                <w:rStyle w:val=""/>
              </w:rPr>
              <w:t xml:space="preserve">Код торгов:</w:t>
            </w:r>
          </w:p>
        </w:tc>
        <w:tc>
          <w:tcPr>
            <w:tcW w:w="6000" w:type="dxa"/>
            <w:vAlign w:val="center"/>
          </w:tcPr>
          <w:p>
            <w:pPr>
              <w:pStyle w:val=""/>
            </w:pPr>
            <w:r>
              <w:rPr>
                <w:rStyle w:val=""/>
              </w:rPr>
              <w:t xml:space="preserve">62841-ОТПП</w:t>
            </w:r>
          </w:p>
        </w:tc>
      </w:tr>
      <w:tr>
        <w:trPr/>
        <w:tc>
          <w:tcPr>
            <w:tcW w:w="4000" w:type="dxa"/>
            <w:vAlign w:val="center"/>
          </w:tcPr>
          <w:p>
            <w:pPr>
              <w:pStyle w:val=""/>
            </w:pPr>
            <w:r>
              <w:rPr>
                <w:rStyle w:val=""/>
              </w:rPr>
              <w:t xml:space="preserve">Дата начала приема заявок:</w:t>
            </w:r>
          </w:p>
        </w:tc>
        <w:tc>
          <w:tcPr>
            <w:tcW w:w="6000" w:type="dxa"/>
            <w:vAlign w:val="center"/>
          </w:tcPr>
          <w:p>
            <w:pPr>
              <w:pStyle w:val=""/>
            </w:pPr>
            <w:r>
              <w:rPr>
                <w:rStyle w:val=""/>
              </w:rPr>
              <w:t xml:space="preserve">02.03.2026 12:00:00</w:t>
            </w:r>
          </w:p>
        </w:tc>
      </w:tr>
      <w:tr>
        <w:trPr/>
        <w:tc>
          <w:tcPr>
            <w:tcW w:w="4000" w:type="dxa"/>
            <w:vAlign w:val="center"/>
          </w:tcPr>
          <w:p>
            <w:pPr>
              <w:pStyle w:val=""/>
            </w:pPr>
            <w:r>
              <w:rPr>
                <w:rStyle w:val=""/>
              </w:rPr>
              <w:t xml:space="preserve">Дата окончания приема заявок:</w:t>
            </w:r>
          </w:p>
        </w:tc>
        <w:tc>
          <w:tcPr>
            <w:tcW w:w="6000" w:type="dxa"/>
            <w:vAlign w:val="center"/>
          </w:tcPr>
          <w:p>
            <w:pPr>
              <w:pStyle w:val=""/>
            </w:pPr>
            <w:r>
              <w:rPr>
                <w:rStyle w:val=""/>
              </w:rPr>
              <w:t xml:space="preserve">06.05.2026 12:00:00</w:t>
            </w:r>
          </w:p>
        </w:tc>
      </w:tr>
      <w:tr>
        <w:trPr/>
        <w:tc>
          <w:tcPr>
            <w:tcW w:w="4000" w:type="dxa"/>
            <w:vAlign w:val="center"/>
          </w:tcPr>
          <w:p>
            <w:pPr>
              <w:pStyle w:val=""/>
            </w:pPr>
            <w:r>
              <w:rPr>
                <w:rStyle w:val=""/>
              </w:rPr>
              <w:t xml:space="preserve">Номер лота:</w:t>
            </w:r>
          </w:p>
        </w:tc>
        <w:tc>
          <w:tcPr>
            <w:tcW w:w="6000" w:type="dxa"/>
            <w:vAlign w:val="center"/>
          </w:tcPr>
          <w:p>
            <w:pPr>
              <w:pStyle w:val=""/>
            </w:pPr>
            <w:r>
              <w:rPr>
                <w:rStyle w:val=""/>
              </w:rPr>
              <w:t xml:space="preserve">5</w:t>
            </w:r>
          </w:p>
        </w:tc>
      </w:tr>
      <w:tr>
        <w:trPr/>
        <w:tc>
          <w:tcPr>
            <w:tcW w:w="4000" w:type="dxa"/>
            <w:vAlign w:val="center"/>
          </w:tcPr>
          <w:p>
            <w:pPr>
              <w:pStyle w:val=""/>
            </w:pPr>
            <w:r>
              <w:rPr>
                <w:rStyle w:val=""/>
              </w:rPr>
              <w:t xml:space="preserve">Наименование имущества:</w:t>
            </w:r>
          </w:p>
        </w:tc>
        <w:tc>
          <w:tcPr>
            <w:tcW w:w="6000" w:type="dxa"/>
            <w:vAlign w:val="center"/>
          </w:tcPr>
          <w:p>
            <w:pPr>
              <w:pStyle w:val=""/>
            </w:pPr>
            <w:r>
              <w:rPr>
                <w:rStyle w:val=""/>
              </w:rPr>
              <w:t xml:space="preserve">Грузовой-бортовой MITSUBISHI L200 2.5, г. в. 2011, VIN MMCJNKB40BDZ25578, гос.рег.знак О 667 МТ 163, № двигателя 4D56 UCCR2354. Местонахождение: Хабаровский край п. Галкино. (залог АО «АК Банк»)</w:t>
            </w:r>
          </w:p>
        </w:tc>
      </w:tr>
      <w:tr>
        <w:trPr/>
        <w:tc>
          <w:tcPr>
            <w:tcW w:w="4000" w:type="dxa"/>
            <w:vAlign w:val="center"/>
          </w:tcPr>
          <w:p>
            <w:pPr>
              <w:pStyle w:val=""/>
            </w:pPr>
            <w:r>
              <w:rPr>
                <w:rStyle w:val=""/>
              </w:rPr>
              <w:t xml:space="preserve">Сведения об имуществе:</w:t>
            </w:r>
          </w:p>
        </w:tc>
        <w:tc>
          <w:tcPr>
            <w:tcW w:w="6000" w:type="dxa"/>
            <w:vAlign w:val="center"/>
          </w:tcPr>
          <w:p>
            <w:pPr>
              <w:pStyle w:val=""/>
            </w:pPr>
            <w:r>
              <w:rPr>
                <w:rStyle w:val=""/>
              </w:rPr>
              <w:t xml:space="preserve">Грузовой-бортовой MITSUBISHI L200 2.5, г. в. 2011, VIN MMCJNKB40BDZ25578, гос.рег.знак О 667 МТ 163, № двигателя 4D56 UCCR2354. Местонахождение: Хабаровский край п. Галкино. (залог АО «АК Банк»)</w:t>
            </w:r>
          </w:p>
        </w:tc>
      </w:tr>
      <w:tr>
        <w:trPr/>
        <w:tc>
          <w:tcPr>
            <w:tcW w:w="4000" w:type="dxa"/>
            <w:vAlign w:val="center"/>
          </w:tcPr>
          <w:p>
            <w:pPr>
              <w:pStyle w:val=""/>
            </w:pPr>
            <w:r>
              <w:rPr>
                <w:rStyle w:val=""/>
              </w:rPr>
              <w:t xml:space="preserve">Стартовая цена продажи имущества:</w:t>
            </w:r>
          </w:p>
        </w:tc>
        <w:tc>
          <w:tcPr>
            <w:tcW w:w="6000" w:type="dxa"/>
            <w:vAlign w:val="center"/>
          </w:tcPr>
          <w:p>
            <w:pPr>
              <w:pStyle w:val=""/>
            </w:pPr>
            <w:r>
              <w:rPr>
                <w:rStyle w:val=""/>
              </w:rPr>
              <w:t xml:space="preserve">1 070 000.00</w:t>
            </w:r>
          </w:p>
        </w:tc>
      </w:tr>
      <w:tr>
        <w:trPr/>
        <w:tc>
          <w:tcPr>
            <w:tcW w:w="4000" w:type="dxa"/>
            <w:vAlign w:val="center"/>
          </w:tcPr>
          <w:p>
            <w:pPr>
              <w:pStyle w:val=""/>
            </w:pPr>
            <w:r>
              <w:rPr>
                <w:rStyle w:val=""/>
              </w:rPr>
              <w:t xml:space="preserve">Порядок и критерии определения победителя торгов:</w:t>
            </w:r>
          </w:p>
        </w:tc>
        <w:tc>
          <w:tcPr>
            <w:tcW w:w="6000" w:type="dxa"/>
            <w:vAlign w:val="center"/>
          </w:tcPr>
          <w:p>
            <w:pPr>
              <w:pStyle w:val=""/>
            </w:pPr>
            <w:r>
              <w:rPr>
                <w:rStyle w:val=""/>
              </w:rPr>
              <w:t xml:space="preserve">При отсутствии в установленный срок заявки на участие в торгах, содержащей предложение о цене имущества, которая не ниже установленной начальной цены продажи имущества, снижение начальной цены продажи имущества осуществляется в установленные сроки. Право приобретения имущества принадлежит участнику торгов, который представил в установленный срок заявку на участие в торгах, содержащую предложение о цене имущества, которое не ниже начальной цены продажи имущества, установленной для определенного периода проведения торгов, при отсутствии предложений других участников торгов. Если несколько участников торгов посредством публичного предложения представили в установленный срок заявки, содержащие различные предложения о цене имущества, но не ниже начальной цены продажи имущества должника, установленной для определенного периода проведения торгов, право приобретения имущества принадлежит участнику торгов, предложившему максимальную цену за это имущество. Если несколько участников торгов посредством публичного предложения представили в установленный срок заявки, содержащие равные предложения о цене имущества, но не ниже начальной цены продажи имущества должника, установленной для определенного периода проведения торгов, право приобретения имущества должника принадлежит участнику торгов, который первым представил в установленный срок заявку на участие в торгах. С даты определения победителя торгов прием заявок прекращается. Решение организатора торгов об определении победителя торгов оформляется протоколом о результатах проведения торгов.</w:t>
            </w:r>
          </w:p>
        </w:tc>
      </w:tr>
      <w:tr>
        <w:trPr/>
        <w:tc>
          <w:tcPr>
            <w:tcW w:w="10000" w:type="dxa"/>
            <w:vAlign w:val="center"/>
            <w:gridSpan w:val="2"/>
          </w:tcPr>
          <w:p/>
        </w:tc>
      </w:tr>
      <w:tr>
        <w:trPr/>
        <w:tc>
          <w:tcPr>
            <w:tcW w:w="10000" w:type="dxa"/>
            <w:vAlign w:val="center"/>
            <w:gridSpan w:val="2"/>
          </w:tcPr>
          <w:p>
            <w:pPr>
              <w:pStyle w:val=""/>
            </w:pPr>
            <w:r>
              <w:rPr>
                <w:rStyle w:val="table_header"/>
              </w:rPr>
              <w:t xml:space="preserve">Интервалы снижения для лота</w:t>
            </w:r>
          </w:p>
        </w:tc>
      </w:tr>
      <w:tr>
        <w:trPr/>
        <w:tc>
          <w:tcPr>
            <w:tcW w:w="10000" w:type="dxa"/>
            <w:vAlign w:val="center"/>
            <w:gridSpan w:val="2"/>
          </w:tcPr>
          <w:tbl>
            <w:tblGrid>
              <w:gridCol w:w="4000" w:type="dxa"/>
              <w:gridCol w:w="4000" w:type="dxa"/>
              <w:gridCol w:w="4000" w:type="dxa"/>
              <w:gridCol w:w="4000" w:type="dxa"/>
            </w:tblGrid>
            <w:tblPr>
              <w:tblStyle w:val="border"/>
            </w:tblPr>
            <w:tr>
              <w:trPr/>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Начало приема заявок на интервале</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Окончание приема заявок на интервале</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Задаток на интервале</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Цена на интервале</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02.03.2026 12:00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08.04.2026 12:00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107 000.00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1 070 000.00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08.04.2026 12:00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15.04.2026 12:00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102 720.00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1 027 200.00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15.04.2026 12:00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22.04.2026 12:00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98 440.00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984 400.00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22.04.2026 12:00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29.04.2026 12:00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94 160.00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941 600.00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29.04.2026 12:00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06.05.2026 12:00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80 250.00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802 500.00</w:t>
                  </w:r>
                </w:p>
              </w:tc>
            </w:tr>
          </w:tbl>
          <w:p/>
        </w:tc>
      </w:tr>
      <w:tr>
        <w:trPr/>
        <w:tc>
          <w:tcPr>
            <w:tcW w:w="10000" w:type="dxa"/>
            <w:vAlign w:val="center"/>
            <w:gridSpan w:val="2"/>
          </w:tcPr>
          <w:p/>
        </w:tc>
      </w:tr>
      <w:tr>
        <w:trPr/>
        <w:tc>
          <w:tcPr>
            <w:tcW w:w="10000" w:type="dxa"/>
            <w:vAlign w:val="center"/>
            <w:gridSpan w:val="2"/>
          </w:tcPr>
          <w:p>
            <w:pPr>
              <w:pStyle w:val=""/>
            </w:pPr>
            <w:r>
              <w:rPr>
                <w:rStyle w:val="table_header"/>
              </w:rPr>
              <w:t xml:space="preserve">Поданные заявки</w:t>
            </w:r>
          </w:p>
        </w:tc>
      </w:tr>
      <w:tr>
        <w:trPr/>
        <w:tc>
          <w:tcPr>
            <w:tcW w:w="10000" w:type="dxa"/>
            <w:vAlign w:val="center"/>
            <w:gridSpan w:val="2"/>
          </w:tcPr>
          <w:p>
            <w:pPr>
              <w:pStyle w:val=""/>
            </w:pPr>
            <w:r>
              <w:rPr>
                <w:rStyle w:val=""/>
              </w:rPr>
              <w:t xml:space="preserve">Заявок не подано</w:t>
            </w:r>
          </w:p>
        </w:tc>
      </w:tr>
      <w:tr>
        <w:trPr/>
        <w:tc>
          <w:tcPr>
            <w:tcW w:w="10000" w:type="dxa"/>
            <w:vAlign w:val="center"/>
            <w:gridSpan w:val="2"/>
          </w:tcPr>
          <w:p/>
        </w:tc>
      </w:tr>
    </w:tbl>
    <w:p>
      <w:pPr>
        <w:pStyle w:val=""/>
      </w:pPr>
      <w:r>
        <w:rPr>
          <w:rStyle w:val=""/>
        </w:rPr>
        <w:t xml:space="preserve"/>
      </w:r>
    </w:p>
    <w:p/>
    <w:p/>
    <w:p>
      <w:pPr>
        <w:pStyle w:val=""/>
      </w:pPr>
      <w:r>
        <w:rPr>
          <w:rStyle w:val=""/>
        </w:rPr>
        <w:t xml:space="preserve">Протокол подписан организатором торгов</w:t>
      </w:r>
    </w:p>
    <w:sectPr>
      <w:pgSz w:orient="portrait" w:w="11870" w:h="16787"/>
      <w:pgMar w:top="850" w:right="850" w:bottom="1440" w:left="8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Times New Roman" w:cs="Times New Roman"/>
        <w:sz w:val="26"/>
        <w:szCs w:val="26"/>
      </w:rPr>
    </w:rPrDefault>
  </w:docDefaults>
  <w:style w:type="paragraph" w:default="1" w:styleId="Normal">
    <w:name w:val="Normal"/>
    <w:pPr>
      <w:jc w:val="left"/>
      <w:ind w:left="0" w:right="0"/>
      <w:spacing w:after="0"/>
    </w:pPr>
  </w:style>
  <w:style w:type="character" w:styleId="FootnoteReference">
    <w:name w:val="Footnote Reference"/>
    <w:semiHidden/>
    <w:unhideWhenUsed/>
    <w:rPr>
      <w:vertAlign w:val="superscript"/>
    </w:rPr>
  </w:style>
  <w:style w:type="paragraph" w:customStyle="1" w:styleId="center">
    <w:name w:val="center"/>
    <w:basedOn w:val="Normal"/>
    <w:pPr>
      <w:jc w:val="center"/>
      <w:spacing w:after="0"/>
    </w:pPr>
  </w:style>
  <w:style w:type="character">
    <w:name w:val="doc_header"/>
    <w:rPr>
      <w:sz w:val="24"/>
      <w:szCs w:val="24"/>
      <w:b/>
      <w:caps/>
    </w:rPr>
  </w:style>
  <w:style w:type="character">
    <w:name w:val="bold"/>
    <w:rPr>
      <w:b/>
    </w:rPr>
  </w:style>
  <w:style w:type="character">
    <w:name w:val="table_header"/>
    <w:rPr>
      <w:color w:val="BE1E2D"/>
    </w:rPr>
  </w:style>
  <w:style w:type="table" w:customStyle="1" w:styleId="noborder">
    <w:name w:val="noborder"/>
    <w:uiPriority w:val="99"/>
    <w:tblPr>
      <w:jc w:val="left"/>
      <w:tblW w:w="100" w:type="auto"/>
      <w:tblCellMar>
        <w:top w:w="10" w:type="dxa"/>
        <w:left w:w="10" w:type="dxa"/>
        <w:right w:w="10" w:type="dxa"/>
        <w:bottom w:w="10" w:type="dxa"/>
      </w:tblCellMar>
    </w:tblPr>
  </w:style>
  <w:style w:type="table" w:customStyle="1" w:styleId="border">
    <w:name w:val="border"/>
    <w:uiPriority w:val="99"/>
    <w:tblPr>
      <w:jc w:val="left"/>
      <w:tblW w:w="100" w:type="auto"/>
      <w:tblCellMar>
        <w:top w:w="50" w:type="dxa"/>
        <w:left w:w="50" w:type="dxa"/>
        <w:right w:w="50" w:type="dxa"/>
        <w:bottom w:w="50"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2026-05-06T12:03:58+03:00</dcterms:created>
  <dcterms:modified xsi:type="dcterms:W3CDTF">2026-05-06T12:03:58+03:00</dcterms:modified>
</cp:coreProperties>
</file>

<file path=docProps/custom.xml><?xml version="1.0" encoding="utf-8"?>
<Properties xmlns="http://schemas.openxmlformats.org/officeDocument/2006/custom-properties" xmlns:vt="http://schemas.openxmlformats.org/officeDocument/2006/docPropsVTypes"/>
</file>