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61088-ОТПП/2</w:t>
      </w:r>
    </w:p>
    <w:p/>
    <w:p>
      <w:pPr/>
      <w:r>
        <w:rPr/>
        <w:t xml:space="preserve">12.03.2026 г.</w:t>
      </w:r>
    </w:p>
    <w:p/>
    <w:tbl>
      <w:tblGrid>
        <w:gridCol w:w="4000" w:type="dxa"/>
        <w:gridCol w:w="6000" w:type="dxa"/>
      </w:tblGrid>
      <w:tblPr>
        <w:tblStyle w:val="noborder"/>
      </w:tblPr>
      <w:tr>
        <w:trPr/>
        <w:tc>
          <w:tcPr>
            <w:tcW w:w="10000" w:type="dxa"/>
            <w:vAlign w:val="center"/>
            <w:gridSpan w:val="2"/>
            <w:noWrap/>
          </w:tcPr>
          <w:p>
            <w:pPr/>
            <w:r>
              <w:rPr>
                <w:rStyle w:val="table_header"/>
              </w:rPr>
              <w:t xml:space="preserve">Организатор торгов</w:t>
            </w:r>
          </w:p>
        </w:tc>
      </w:tr>
      <w:tr>
        <w:trPr/>
        <w:tc>
          <w:tcPr>
            <w:tcW w:w="4000" w:type="dxa"/>
            <w:vAlign w:val="center"/>
            <w:noWrap/>
          </w:tcPr>
          <w:p>
            <w:pPr/>
            <w:r>
              <w:rPr/>
              <w:t xml:space="preserve">ФИО:</w:t>
            </w:r>
          </w:p>
        </w:tc>
        <w:tc>
          <w:tcPr>
            <w:tcW w:w="6000" w:type="dxa"/>
            <w:vAlign w:val="center"/>
            <w:noWrap/>
          </w:tcPr>
          <w:p>
            <w:pPr/>
            <w:r>
              <w:rPr/>
              <w:t xml:space="preserve">Насакин Олег Евгеньевич</w:t>
            </w:r>
          </w:p>
        </w:tc>
      </w:tr>
      <w:tr>
        <w:trPr/>
        <w:tc>
          <w:tcPr>
            <w:tcW w:w="4000" w:type="dxa"/>
            <w:vAlign w:val="center"/>
            <w:noWrap/>
          </w:tcPr>
          <w:p>
            <w:pPr/>
            <w:r>
              <w:rPr/>
              <w:t xml:space="preserve">ИНН:</w:t>
            </w:r>
          </w:p>
        </w:tc>
        <w:tc>
          <w:tcPr>
            <w:tcW w:w="6000" w:type="dxa"/>
            <w:vAlign w:val="center"/>
            <w:noWrap/>
          </w:tcPr>
          <w:p>
            <w:pPr/>
            <w:r>
              <w:rPr/>
              <w:t xml:space="preserve">132605639454</w:t>
            </w:r>
          </w:p>
        </w:tc>
      </w:tr>
      <w:tr>
        <w:trPr/>
        <w:tc>
          <w:tcPr>
            <w:tcW w:w="4000" w:type="dxa"/>
            <w:vAlign w:val="center"/>
            <w:noWrap/>
          </w:tcPr>
          <w:p>
            <w:pPr/>
            <w:r>
              <w:rPr/>
              <w:t xml:space="preserve">Телефон/факс:</w:t>
            </w:r>
          </w:p>
        </w:tc>
        <w:tc>
          <w:tcPr>
            <w:tcW w:w="6000" w:type="dxa"/>
            <w:vAlign w:val="center"/>
            <w:noWrap/>
          </w:tcPr>
          <w:p>
            <w:pPr/>
            <w:r>
              <w:rPr/>
              <w:t xml:space="preserve">89603319988</w:t>
            </w:r>
          </w:p>
        </w:tc>
      </w:tr>
      <w:tr>
        <w:trPr/>
        <w:tc>
          <w:tcPr>
            <w:tcW w:w="10000" w:type="dxa"/>
            <w:vAlign w:val="center"/>
            <w:gridSpan w:val="2"/>
            <w:noWrap/>
          </w:tcPr>
          <w:p/>
        </w:tc>
      </w:tr>
      <w:tr>
        <w:trPr/>
        <w:tc>
          <w:tcPr>
            <w:tcW w:w="10000" w:type="dxa"/>
            <w:vAlign w:val="center"/>
            <w:gridSpan w:val="2"/>
            <w:noWrap/>
          </w:tcPr>
          <w:p>
            <w:pPr/>
            <w:r>
              <w:rPr>
                <w:rStyle w:val="table_header"/>
              </w:rPr>
              <w:t xml:space="preserve">Сведения о должнике</w:t>
            </w:r>
          </w:p>
        </w:tc>
      </w:tr>
      <w:tr>
        <w:trPr/>
        <w:tc>
          <w:tcPr>
            <w:tcW w:w="4000" w:type="dxa"/>
            <w:vAlign w:val="center"/>
            <w:noWrap/>
          </w:tcPr>
          <w:p>
            <w:pPr/>
            <w:r>
              <w:rPr/>
              <w:t xml:space="preserve">ФИО:</w:t>
            </w:r>
          </w:p>
        </w:tc>
        <w:tc>
          <w:tcPr>
            <w:tcW w:w="6000" w:type="dxa"/>
            <w:vAlign w:val="center"/>
            <w:noWrap/>
          </w:tcPr>
          <w:p>
            <w:pPr/>
            <w:r>
              <w:rPr/>
              <w:t xml:space="preserve">Плотников Олег Викторович</w:t>
            </w:r>
          </w:p>
        </w:tc>
      </w:tr>
      <w:tr>
        <w:trPr/>
        <w:tc>
          <w:tcPr>
            <w:tcW w:w="4000" w:type="dxa"/>
            <w:vAlign w:val="center"/>
            <w:noWrap/>
          </w:tcPr>
          <w:p>
            <w:pPr/>
            <w:r>
              <w:rPr/>
              <w:t xml:space="preserve">ИНН:</w:t>
            </w:r>
          </w:p>
        </w:tc>
        <w:tc>
          <w:tcPr>
            <w:tcW w:w="6000" w:type="dxa"/>
            <w:vAlign w:val="center"/>
            <w:noWrap/>
          </w:tcPr>
          <w:p>
            <w:pPr/>
            <w:r>
              <w:rPr/>
              <w:t xml:space="preserve">772025813943</w:t>
            </w:r>
          </w:p>
        </w:tc>
      </w:tr>
      <w:tr>
        <w:trPr/>
        <w:tc>
          <w:tcPr>
            <w:tcW w:w="4000" w:type="dxa"/>
            <w:vAlign w:val="center"/>
            <w:noWrap/>
          </w:tcPr>
          <w:p>
            <w:pPr/>
            <w:r>
              <w:rPr/>
              <w:t xml:space="preserve">Адрес:</w:t>
            </w:r>
          </w:p>
        </w:tc>
        <w:tc>
          <w:tcPr>
            <w:tcW w:w="6000" w:type="dxa"/>
            <w:vAlign w:val="center"/>
            <w:noWrap/>
          </w:tcPr>
          <w:p>
            <w:pPr/>
            <w:r>
              <w:rPr/>
              <w:t xml:space="preserve">г.Нижний Новгород, ул.Краснозвездная, д.7а, кв.13</w:t>
            </w:r>
          </w:p>
        </w:tc>
      </w:tr>
      <w:tr>
        <w:trPr/>
        <w:tc>
          <w:tcPr>
            <w:tcW w:w="4000" w:type="dxa"/>
            <w:vAlign w:val="center"/>
            <w:noWrap/>
          </w:tcPr>
          <w:p>
            <w:pPr/>
            <w:r>
              <w:rPr/>
              <w:t xml:space="preserve">Номер дела:</w:t>
            </w:r>
          </w:p>
        </w:tc>
        <w:tc>
          <w:tcPr>
            <w:tcW w:w="6000" w:type="dxa"/>
            <w:vAlign w:val="center"/>
            <w:noWrap/>
          </w:tcPr>
          <w:p>
            <w:pPr/>
            <w:r>
              <w:rPr/>
              <w:t xml:space="preserve">А43-5120/2022</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Информация о торгах и лоте</w:t>
            </w:r>
          </w:p>
        </w:tc>
      </w:tr>
      <w:tr>
        <w:trPr/>
        <w:tc>
          <w:tcPr>
            <w:tcW w:w="4000" w:type="dxa"/>
            <w:vAlign w:val="center"/>
            <w:noWrap/>
          </w:tcPr>
          <w:p>
            <w:pPr/>
            <w:r>
              <w:rPr/>
              <w:t xml:space="preserve">Тип торгов:</w:t>
            </w:r>
          </w:p>
        </w:tc>
        <w:tc>
          <w:tcPr>
            <w:tcW w:w="6000" w:type="dxa"/>
            <w:vAlign w:val="center"/>
            <w:noWrap/>
          </w:tcPr>
          <w:p>
            <w:pPr/>
            <w:r>
              <w:rPr/>
              <w:t xml:space="preserve">Публичное предложение</w:t>
            </w:r>
          </w:p>
        </w:tc>
      </w:tr>
      <w:tr>
        <w:trPr/>
        <w:tc>
          <w:tcPr>
            <w:tcW w:w="4000" w:type="dxa"/>
            <w:vAlign w:val="center"/>
            <w:noWrap/>
          </w:tcPr>
          <w:p>
            <w:pPr/>
            <w:r>
              <w:rPr/>
              <w:t xml:space="preserve">Код торгов:</w:t>
            </w:r>
          </w:p>
        </w:tc>
        <w:tc>
          <w:tcPr>
            <w:tcW w:w="6000" w:type="dxa"/>
            <w:vAlign w:val="center"/>
            <w:noWrap/>
          </w:tcPr>
          <w:p>
            <w:pPr/>
            <w:r>
              <w:rPr/>
              <w:t xml:space="preserve">61088-ОТПП</w:t>
            </w:r>
          </w:p>
        </w:tc>
      </w:tr>
      <w:tr>
        <w:trPr/>
        <w:tc>
          <w:tcPr>
            <w:tcW w:w="4000" w:type="dxa"/>
            <w:vAlign w:val="center"/>
            <w:noWrap/>
          </w:tcPr>
          <w:p>
            <w:pPr/>
            <w:r>
              <w:rPr/>
              <w:t xml:space="preserve">Дата начала приема заявок:</w:t>
            </w:r>
          </w:p>
        </w:tc>
        <w:tc>
          <w:tcPr>
            <w:tcW w:w="6000" w:type="dxa"/>
            <w:vAlign w:val="center"/>
            <w:noWrap/>
          </w:tcPr>
          <w:p>
            <w:pPr/>
            <w:r>
              <w:rPr/>
              <w:t xml:space="preserve">02.03.2026 10:00:00</w:t>
            </w:r>
          </w:p>
        </w:tc>
      </w:tr>
      <w:tr>
        <w:trPr/>
        <w:tc>
          <w:tcPr>
            <w:tcW w:w="4000" w:type="dxa"/>
            <w:vAlign w:val="center"/>
            <w:noWrap/>
          </w:tcPr>
          <w:p>
            <w:pPr/>
            <w:r>
              <w:rPr/>
              <w:t xml:space="preserve">Дата окончания приема заявок:</w:t>
            </w:r>
          </w:p>
        </w:tc>
        <w:tc>
          <w:tcPr>
            <w:tcW w:w="6000" w:type="dxa"/>
            <w:vAlign w:val="center"/>
            <w:noWrap/>
          </w:tcPr>
          <w:p>
            <w:pPr/>
            <w:r>
              <w:rPr/>
              <w:t xml:space="preserve">09.09.2026 10:00:00</w:t>
            </w:r>
          </w:p>
        </w:tc>
      </w:tr>
      <w:tr>
        <w:trPr/>
        <w:tc>
          <w:tcPr>
            <w:tcW w:w="4000" w:type="dxa"/>
            <w:vAlign w:val="center"/>
            <w:noWrap/>
          </w:tcPr>
          <w:p/>
        </w:tc>
        <w:tc>
          <w:tcPr>
            <w:tcW w:w="6000" w:type="dxa"/>
            <w:vAlign w:val="center"/>
            <w:noWrap/>
          </w:tcPr>
          <w:p/>
        </w:tc>
      </w:tr>
      <w:tr>
        <w:trPr/>
        <w:tc>
          <w:tcPr>
            <w:tcW w:w="4000" w:type="dxa"/>
            <w:vAlign w:val="center"/>
            <w:noWrap/>
          </w:tcPr>
          <w:p>
            <w:pPr/>
            <w:r>
              <w:rPr/>
              <w:t xml:space="preserve">Номер лота:</w:t>
            </w:r>
          </w:p>
        </w:tc>
        <w:tc>
          <w:tcPr>
            <w:tcW w:w="6000" w:type="dxa"/>
            <w:vAlign w:val="center"/>
            <w:noWrap/>
          </w:tcPr>
          <w:p>
            <w:pPr/>
            <w:r>
              <w:rPr/>
              <w:t xml:space="preserve">2</w:t>
            </w:r>
          </w:p>
        </w:tc>
      </w:tr>
      <w:tr>
        <w:trPr/>
        <w:tc>
          <w:tcPr>
            <w:tcW w:w="4000" w:type="dxa"/>
            <w:vAlign w:val="center"/>
            <w:noWrap/>
          </w:tcPr>
          <w:p>
            <w:pPr/>
            <w:r>
              <w:rPr/>
              <w:t xml:space="preserve">Наименование имущества:</w:t>
            </w:r>
          </w:p>
        </w:tc>
        <w:tc>
          <w:tcPr>
            <w:tcW w:w="6000" w:type="dxa"/>
            <w:vAlign w:val="center"/>
            <w:noWrap/>
          </w:tcPr>
          <w:p>
            <w:pPr/>
            <w:r>
              <w:rPr/>
              <w:t xml:space="preserve">Объект недвижимости</w:t>
            </w:r>
          </w:p>
        </w:tc>
      </w:tr>
      <w:tr>
        <w:trPr/>
        <w:tc>
          <w:tcPr>
            <w:tcW w:w="4000" w:type="dxa"/>
            <w:vAlign w:val="center"/>
            <w:noWrap/>
          </w:tcPr>
          <w:p>
            <w:pPr/>
            <w:r>
              <w:rPr/>
              <w:t xml:space="preserve">Сведения об имуществе:</w:t>
            </w:r>
          </w:p>
        </w:tc>
        <w:tc>
          <w:tcPr>
            <w:tcW w:w="6000" w:type="dxa"/>
            <w:vAlign w:val="center"/>
            <w:noWrap/>
          </w:tcPr>
          <w:p>
            <w:pPr/>
            <w:r>
              <w:rPr/>
              <w:t xml:space="preserve">Здание, площадь 443,6 кв.м., кадастровый (условный) номер: 13:20:0112008:1736, расп. по адресу: Республика Мордовия, р-н. Теньгушевский, с. Теньгушево, ул. Ленина, д. 61; Земельный участок, площадь 597+/-17 кв.м., кадастровый (условный) номер: 13:20:0112008:2347, расп. по адресу: Республика Мордовия, Теньгушевский район, с. Теньгушево, ул. Ленина, д. 61</w:t>
            </w:r>
          </w:p>
        </w:tc>
      </w:tr>
      <w:tr>
        <w:trPr/>
        <w:tc>
          <w:tcPr>
            <w:tcW w:w="4000" w:type="dxa"/>
            <w:vAlign w:val="center"/>
            <w:noWrap/>
          </w:tcPr>
          <w:p>
            <w:pPr/>
            <w:r>
              <w:rPr/>
              <w:t xml:space="preserve">Стартовая цена продажи имущества:</w:t>
            </w:r>
          </w:p>
        </w:tc>
        <w:tc>
          <w:tcPr>
            <w:tcW w:w="6000" w:type="dxa"/>
            <w:vAlign w:val="center"/>
            <w:noWrap/>
          </w:tcPr>
          <w:p>
            <w:pPr/>
            <w:r>
              <w:rPr/>
              <w:t xml:space="preserve">173 502.00</w:t>
            </w:r>
          </w:p>
        </w:tc>
      </w:tr>
      <w:tr>
        <w:trPr/>
        <w:tc>
          <w:tcPr>
            <w:tcW w:w="4000" w:type="dxa"/>
            <w:vAlign w:val="center"/>
            <w:noWrap/>
          </w:tcPr>
          <w:p>
            <w:pPr/>
            <w:r>
              <w:rPr/>
              <w:t xml:space="preserve">Порядок и критерии определения победителя торгов:</w:t>
            </w:r>
          </w:p>
        </w:tc>
        <w:tc>
          <w:tcPr>
            <w:tcW w:w="6000" w:type="dxa"/>
            <w:vAlign w:val="center"/>
            <w:noWrap/>
          </w:tcPr>
          <w:p>
            <w:pPr/>
            <w:r>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Интервалы снижения для лота</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17 350.20</w:t>
                  </w:r>
                </w:p>
              </w:tc>
              <w:tc>
                <w:tcPr>
                  <w:tcW w:w="4000" w:type="dxa"/>
                  <w:vAlign w:val="center"/>
                  <w:tcBorders>
                    <w:top w:val="single" w:sz="1" w:color="ffffff"/>
                    <w:left w:val="single" w:sz="1" w:color="ffffff"/>
                    <w:right w:val="single" w:sz="1" w:color="ffffff"/>
                    <w:bottom w:val="single" w:sz="1" w:color="ffffff"/>
                  </w:tcBorders>
                  <w:noWrap/>
                </w:tcPr>
                <w:p>
                  <w:pPr/>
                  <w:r>
                    <w:rPr/>
                    <w:t xml:space="preserve">173 502.00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23.03.2026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16 482.69</w:t>
                  </w:r>
                </w:p>
              </w:tc>
              <w:tc>
                <w:tcPr>
                  <w:tcW w:w="4000" w:type="dxa"/>
                  <w:vAlign w:val="center"/>
                  <w:tcBorders>
                    <w:top w:val="single" w:sz="1" w:color="ffffff"/>
                    <w:left w:val="single" w:sz="1" w:color="ffffff"/>
                    <w:right w:val="single" w:sz="1" w:color="ffffff"/>
                    <w:bottom w:val="single" w:sz="1" w:color="ffffff"/>
                  </w:tcBorders>
                  <w:noWrap/>
                </w:tcPr>
                <w:p>
                  <w:pPr/>
                  <w:r>
                    <w:rPr/>
                    <w:t xml:space="preserve">164 826.90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23.03.2026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15 615.18</w:t>
                  </w:r>
                </w:p>
              </w:tc>
              <w:tc>
                <w:tcPr>
                  <w:tcW w:w="4000" w:type="dxa"/>
                  <w:vAlign w:val="center"/>
                  <w:tcBorders>
                    <w:top w:val="single" w:sz="1" w:color="ffffff"/>
                    <w:left w:val="single" w:sz="1" w:color="ffffff"/>
                    <w:right w:val="single" w:sz="1" w:color="ffffff"/>
                    <w:bottom w:val="single" w:sz="1" w:color="ffffff"/>
                  </w:tcBorders>
                  <w:noWrap/>
                </w:tcPr>
                <w:p>
                  <w:pPr/>
                  <w:r>
                    <w:rPr/>
                    <w:t xml:space="preserve">156 151.80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14 747.67</w:t>
                  </w:r>
                </w:p>
              </w:tc>
              <w:tc>
                <w:tcPr>
                  <w:tcW w:w="4000" w:type="dxa"/>
                  <w:vAlign w:val="center"/>
                  <w:tcBorders>
                    <w:top w:val="single" w:sz="1" w:color="ffffff"/>
                    <w:left w:val="single" w:sz="1" w:color="ffffff"/>
                    <w:right w:val="single" w:sz="1" w:color="ffffff"/>
                    <w:bottom w:val="single" w:sz="1" w:color="ffffff"/>
                  </w:tcBorders>
                  <w:noWrap/>
                </w:tcPr>
                <w:p>
                  <w:pPr/>
                  <w:r>
                    <w:rPr/>
                    <w:t xml:space="preserve">147 476.70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13 880.16</w:t>
                  </w:r>
                </w:p>
              </w:tc>
              <w:tc>
                <w:tcPr>
                  <w:tcW w:w="4000" w:type="dxa"/>
                  <w:vAlign w:val="center"/>
                  <w:tcBorders>
                    <w:top w:val="single" w:sz="1" w:color="ffffff"/>
                    <w:left w:val="single" w:sz="1" w:color="ffffff"/>
                    <w:right w:val="single" w:sz="1" w:color="ffffff"/>
                    <w:bottom w:val="single" w:sz="1" w:color="ffffff"/>
                  </w:tcBorders>
                  <w:noWrap/>
                </w:tcPr>
                <w:p>
                  <w:pPr/>
                  <w:r>
                    <w:rPr/>
                    <w:t xml:space="preserve">138 801.60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30.04.2026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13 012.65</w:t>
                  </w:r>
                </w:p>
              </w:tc>
              <w:tc>
                <w:tcPr>
                  <w:tcW w:w="4000" w:type="dxa"/>
                  <w:vAlign w:val="center"/>
                  <w:tcBorders>
                    <w:top w:val="single" w:sz="1" w:color="ffffff"/>
                    <w:left w:val="single" w:sz="1" w:color="ffffff"/>
                    <w:right w:val="single" w:sz="1" w:color="ffffff"/>
                    <w:bottom w:val="single" w:sz="1" w:color="ffffff"/>
                  </w:tcBorders>
                  <w:noWrap/>
                </w:tcPr>
                <w:p>
                  <w:pPr/>
                  <w:r>
                    <w:rPr/>
                    <w:t xml:space="preserve">130 126.50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30.04.2026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13.05.2026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12 145.14</w:t>
                  </w:r>
                </w:p>
              </w:tc>
              <w:tc>
                <w:tcPr>
                  <w:tcW w:w="4000" w:type="dxa"/>
                  <w:vAlign w:val="center"/>
                  <w:tcBorders>
                    <w:top w:val="single" w:sz="1" w:color="ffffff"/>
                    <w:left w:val="single" w:sz="1" w:color="ffffff"/>
                    <w:right w:val="single" w:sz="1" w:color="ffffff"/>
                    <w:bottom w:val="single" w:sz="1" w:color="ffffff"/>
                  </w:tcBorders>
                  <w:noWrap/>
                </w:tcPr>
                <w:p>
                  <w:pPr/>
                  <w:r>
                    <w:rPr/>
                    <w:t xml:space="preserve">121 451.40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13.05.2026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22.05.2026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11 277.63</w:t>
                  </w:r>
                </w:p>
              </w:tc>
              <w:tc>
                <w:tcPr>
                  <w:tcW w:w="4000" w:type="dxa"/>
                  <w:vAlign w:val="center"/>
                  <w:tcBorders>
                    <w:top w:val="single" w:sz="1" w:color="ffffff"/>
                    <w:left w:val="single" w:sz="1" w:color="ffffff"/>
                    <w:right w:val="single" w:sz="1" w:color="ffffff"/>
                    <w:bottom w:val="single" w:sz="1" w:color="ffffff"/>
                  </w:tcBorders>
                  <w:noWrap/>
                </w:tcPr>
                <w:p>
                  <w:pPr/>
                  <w:r>
                    <w:rPr/>
                    <w:t xml:space="preserve">112 776.30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22.05.2026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02.06.2026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10 410.12</w:t>
                  </w:r>
                </w:p>
              </w:tc>
              <w:tc>
                <w:tcPr>
                  <w:tcW w:w="4000" w:type="dxa"/>
                  <w:vAlign w:val="center"/>
                  <w:tcBorders>
                    <w:top w:val="single" w:sz="1" w:color="ffffff"/>
                    <w:left w:val="single" w:sz="1" w:color="ffffff"/>
                    <w:right w:val="single" w:sz="1" w:color="ffffff"/>
                    <w:bottom w:val="single" w:sz="1" w:color="ffffff"/>
                  </w:tcBorders>
                  <w:noWrap/>
                </w:tcPr>
                <w:p>
                  <w:pPr/>
                  <w:r>
                    <w:rPr/>
                    <w:t xml:space="preserve">104 101.20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9 542.61</w:t>
                  </w:r>
                </w:p>
              </w:tc>
              <w:tc>
                <w:tcPr>
                  <w:tcW w:w="4000" w:type="dxa"/>
                  <w:vAlign w:val="center"/>
                  <w:tcBorders>
                    <w:top w:val="single" w:sz="1" w:color="ffffff"/>
                    <w:left w:val="single" w:sz="1" w:color="ffffff"/>
                    <w:right w:val="single" w:sz="1" w:color="ffffff"/>
                    <w:bottom w:val="single" w:sz="1" w:color="ffffff"/>
                  </w:tcBorders>
                  <w:noWrap/>
                </w:tcPr>
                <w:p>
                  <w:pPr/>
                  <w:r>
                    <w:rPr/>
                    <w:t xml:space="preserve">95 426.10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23.06.2026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8 675.10</w:t>
                  </w:r>
                </w:p>
              </w:tc>
              <w:tc>
                <w:tcPr>
                  <w:tcW w:w="4000" w:type="dxa"/>
                  <w:vAlign w:val="center"/>
                  <w:tcBorders>
                    <w:top w:val="single" w:sz="1" w:color="ffffff"/>
                    <w:left w:val="single" w:sz="1" w:color="ffffff"/>
                    <w:right w:val="single" w:sz="1" w:color="ffffff"/>
                    <w:bottom w:val="single" w:sz="1" w:color="ffffff"/>
                  </w:tcBorders>
                  <w:noWrap/>
                </w:tcPr>
                <w:p>
                  <w:pPr/>
                  <w:r>
                    <w:rPr/>
                    <w:t xml:space="preserve">86 751.00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23.06.2026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02.07.2026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7 807.59</w:t>
                  </w:r>
                </w:p>
              </w:tc>
              <w:tc>
                <w:tcPr>
                  <w:tcW w:w="4000" w:type="dxa"/>
                  <w:vAlign w:val="center"/>
                  <w:tcBorders>
                    <w:top w:val="single" w:sz="1" w:color="ffffff"/>
                    <w:left w:val="single" w:sz="1" w:color="ffffff"/>
                    <w:right w:val="single" w:sz="1" w:color="ffffff"/>
                    <w:bottom w:val="single" w:sz="1" w:color="ffffff"/>
                  </w:tcBorders>
                  <w:noWrap/>
                </w:tcPr>
                <w:p>
                  <w:pPr/>
                  <w:r>
                    <w:rPr/>
                    <w:t xml:space="preserve">78 075.90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6 940.08</w:t>
                  </w:r>
                </w:p>
              </w:tc>
              <w:tc>
                <w:tcPr>
                  <w:tcW w:w="4000" w:type="dxa"/>
                  <w:vAlign w:val="center"/>
                  <w:tcBorders>
                    <w:top w:val="single" w:sz="1" w:color="ffffff"/>
                    <w:left w:val="single" w:sz="1" w:color="ffffff"/>
                    <w:right w:val="single" w:sz="1" w:color="ffffff"/>
                    <w:bottom w:val="single" w:sz="1" w:color="ffffff"/>
                  </w:tcBorders>
                  <w:noWrap/>
                </w:tcPr>
                <w:p>
                  <w:pPr/>
                  <w:r>
                    <w:rPr/>
                    <w:t xml:space="preserve">69 400.80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22.07.2026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6 072.57</w:t>
                  </w:r>
                </w:p>
              </w:tc>
              <w:tc>
                <w:tcPr>
                  <w:tcW w:w="4000" w:type="dxa"/>
                  <w:vAlign w:val="center"/>
                  <w:tcBorders>
                    <w:top w:val="single" w:sz="1" w:color="ffffff"/>
                    <w:left w:val="single" w:sz="1" w:color="ffffff"/>
                    <w:right w:val="single" w:sz="1" w:color="ffffff"/>
                    <w:bottom w:val="single" w:sz="1" w:color="ffffff"/>
                  </w:tcBorders>
                  <w:noWrap/>
                </w:tcPr>
                <w:p>
                  <w:pPr/>
                  <w:r>
                    <w:rPr/>
                    <w:t xml:space="preserve">60 725.70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22.07.2026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31.07.2026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5 205.06</w:t>
                  </w:r>
                </w:p>
              </w:tc>
              <w:tc>
                <w:tcPr>
                  <w:tcW w:w="4000" w:type="dxa"/>
                  <w:vAlign w:val="center"/>
                  <w:tcBorders>
                    <w:top w:val="single" w:sz="1" w:color="ffffff"/>
                    <w:left w:val="single" w:sz="1" w:color="ffffff"/>
                    <w:right w:val="single" w:sz="1" w:color="ffffff"/>
                    <w:bottom w:val="single" w:sz="1" w:color="ffffff"/>
                  </w:tcBorders>
                  <w:noWrap/>
                </w:tcPr>
                <w:p>
                  <w:pPr/>
                  <w:r>
                    <w:rPr/>
                    <w:t xml:space="preserve">52 050.60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31.07.2026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4 337.55</w:t>
                  </w:r>
                </w:p>
              </w:tc>
              <w:tc>
                <w:tcPr>
                  <w:tcW w:w="4000" w:type="dxa"/>
                  <w:vAlign w:val="center"/>
                  <w:tcBorders>
                    <w:top w:val="single" w:sz="1" w:color="ffffff"/>
                    <w:left w:val="single" w:sz="1" w:color="ffffff"/>
                    <w:right w:val="single" w:sz="1" w:color="ffffff"/>
                    <w:bottom w:val="single" w:sz="1" w:color="ffffff"/>
                  </w:tcBorders>
                  <w:noWrap/>
                </w:tcPr>
                <w:p>
                  <w:pPr/>
                  <w:r>
                    <w:rPr/>
                    <w:t xml:space="preserve">43 375.50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11.08.2026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20.08.2026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3 470.04</w:t>
                  </w:r>
                </w:p>
              </w:tc>
              <w:tc>
                <w:tcPr>
                  <w:tcW w:w="4000" w:type="dxa"/>
                  <w:vAlign w:val="center"/>
                  <w:tcBorders>
                    <w:top w:val="single" w:sz="1" w:color="ffffff"/>
                    <w:left w:val="single" w:sz="1" w:color="ffffff"/>
                    <w:right w:val="single" w:sz="1" w:color="ffffff"/>
                    <w:bottom w:val="single" w:sz="1" w:color="ffffff"/>
                  </w:tcBorders>
                  <w:noWrap/>
                </w:tcPr>
                <w:p>
                  <w:pPr/>
                  <w:r>
                    <w:rPr/>
                    <w:t xml:space="preserve">34 700.40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20.08.2026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31.08.2026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2 602.53</w:t>
                  </w:r>
                </w:p>
              </w:tc>
              <w:tc>
                <w:tcPr>
                  <w:tcW w:w="4000" w:type="dxa"/>
                  <w:vAlign w:val="center"/>
                  <w:tcBorders>
                    <w:top w:val="single" w:sz="1" w:color="ffffff"/>
                    <w:left w:val="single" w:sz="1" w:color="ffffff"/>
                    <w:right w:val="single" w:sz="1" w:color="ffffff"/>
                    <w:bottom w:val="single" w:sz="1" w:color="ffffff"/>
                  </w:tcBorders>
                  <w:noWrap/>
                </w:tcPr>
                <w:p>
                  <w:pPr/>
                  <w:r>
                    <w:rPr/>
                    <w:t xml:space="preserve">26 025.30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31.08.2026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09.09.2026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1 735.02</w:t>
                  </w:r>
                </w:p>
              </w:tc>
              <w:tc>
                <w:tcPr>
                  <w:tcW w:w="4000" w:type="dxa"/>
                  <w:vAlign w:val="center"/>
                  <w:tcBorders>
                    <w:top w:val="single" w:sz="1" w:color="ffffff"/>
                    <w:left w:val="single" w:sz="1" w:color="ffffff"/>
                    <w:right w:val="single" w:sz="1" w:color="ffffff"/>
                    <w:bottom w:val="single" w:sz="1" w:color="ffffff"/>
                  </w:tcBorders>
                  <w:noWrap/>
                </w:tcPr>
                <w:p>
                  <w:pPr/>
                  <w:r>
                    <w:rPr/>
                    <w:t xml:space="preserve">17 350.20</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Поданные заявки</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61088-ОТПП-2-196359</w:t>
                  </w:r>
                </w:p>
              </w:tc>
              <w:tc>
                <w:tcPr>
                  <w:tcW w:w="4000" w:type="dxa"/>
                  <w:vAlign w:val="center"/>
                  <w:tcBorders>
                    <w:top w:val="single" w:sz="1" w:color="ffffff"/>
                    <w:left w:val="single" w:sz="1" w:color="ffffff"/>
                    <w:right w:val="single" w:sz="1" w:color="ffffff"/>
                    <w:bottom w:val="single" w:sz="1" w:color="ffffff"/>
                  </w:tcBorders>
                  <w:noWrap/>
                </w:tcPr>
                <w:p>
                  <w:pPr/>
                  <w:r>
                    <w:rPr/>
                    <w:t xml:space="preserve">12.03.2026 08:07:58.072</w:t>
                  </w:r>
                </w:p>
              </w:tc>
              <w:tc>
                <w:tcPr>
                  <w:tcW w:w="4000" w:type="dxa"/>
                  <w:vAlign w:val="center"/>
                  <w:tcBorders>
                    <w:top w:val="single" w:sz="1" w:color="ffffff"/>
                    <w:left w:val="single" w:sz="1" w:color="ffffff"/>
                    <w:right w:val="single" w:sz="1" w:color="ffffff"/>
                    <w:bottom w:val="single" w:sz="1" w:color="ffffff"/>
                  </w:tcBorders>
                  <w:noWrap/>
                </w:tcPr>
                <w:p>
                  <w:pPr/>
                  <w:r>
                    <w:rPr/>
                    <w:t xml:space="preserve">Пырьев Владислав Александрович (ИНН 524931134522)</w:t>
                  </w:r>
                </w:p>
              </w:tc>
              <w:tc>
                <w:tcPr>
                  <w:tcW w:w="4000" w:type="dxa"/>
                  <w:vAlign w:val="center"/>
                  <w:tcBorders>
                    <w:top w:val="single" w:sz="1" w:color="ffffff"/>
                    <w:left w:val="single" w:sz="1" w:color="ffffff"/>
                    <w:right w:val="single" w:sz="1" w:color="ffffff"/>
                    <w:bottom w:val="single" w:sz="1" w:color="ffffff"/>
                  </w:tcBorders>
                  <w:noWrap/>
                </w:tcPr>
                <w:p>
                  <w:pPr/>
                  <w:r>
                    <w:rPr/>
                    <w:t xml:space="preserve">Заявка допущена</w:t>
                  </w:r>
                </w:p>
              </w:tc>
            </w:tr>
          </w:tbl>
          <w:p/>
        </w:tc>
      </w:tr>
      <w:tr>
        <w:trPr/>
        <w:tc>
          <w:tcPr>
            <w:tcW w:w="10000" w:type="dxa"/>
            <w:vAlign w:val="center"/>
            <w:gridSpan w:val="2"/>
            <w:noWrap/>
          </w:tcPr>
          <w:p/>
        </w:tc>
      </w:tr>
    </w:tbl>
    <w:p>
      <w:pPr/>
      <w:r>
        <w:rPr/>
        <w:t xml:space="preserve"/>
      </w:r>
    </w:p>
    <w:p/>
    <w:p/>
    <w:p>
      <w:pPr/>
      <w:r>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6"/>
        <w:szCs w:val="26"/>
        <w:lang w:val="en-US"/>
      </w:rPr>
    </w:rPrDefault>
  </w:docDefaults>
  <w:style w:type="paragraph" w:default="1" w:styleId="Normal">
    <w:name w:val="Normal"/>
    <w:pPr>
      <w:jc w:val="left"/>
      <w:ind w:left="0" w:right="0" w:firstLine="0" w:hanging="0"/>
      <w:spacing w:after="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customStyle="1" w:styleId="center">
    <w:name w:val="center"/>
    <w:basedOn w:val="Normal"/>
    <w:pPr>
      <w:jc w:val="center"/>
      <w:spacing w:after="0"/>
    </w:pPr>
  </w:style>
  <w:style w:type="character">
    <w:name w:val="doc_header"/>
    <w:rPr>
      <w:sz w:val="24"/>
      <w:szCs w:val="24"/>
      <w:b w:val="1"/>
      <w:bCs w:val="1"/>
      <w:smallCaps w:val="0"/>
      <w:caps w:val="1"/>
    </w:rPr>
  </w:style>
  <w:style w:type="character">
    <w:name w:val="bold"/>
    <w:rPr>
      <w:b w:val="1"/>
      <w:bCs w:val="1"/>
    </w:rPr>
  </w:style>
  <w:style w:type="character">
    <w:name w:val="table_header"/>
    <w:rPr>
      <w:color w:val="BE1E2D"/>
    </w:rPr>
  </w:style>
  <w:style w:type="table" w:customStyle="1" w:styleId="noborder">
    <w:name w:val="noborder"/>
    <w:uiPriority w:val="99"/>
    <w:tblPr>
      <w:tblW w:w="0" w:type="auto"/>
      <w:tblLayout w:type="autofit"/>
      <w:tblCellMar>
        <w:top w:w="10" w:type="dxa"/>
        <w:left w:w="10" w:type="dxa"/>
        <w:right w:w="10" w:type="dxa"/>
        <w:bottom w:w="10" w:type="dxa"/>
      </w:tblCellMar>
    </w:tblPr>
  </w:style>
  <w:style w:type="table" w:customStyle="1" w:styleId="border">
    <w:name w:val="border"/>
    <w:uiPriority w:val="99"/>
    <w:tblPr>
      <w:tblW w:w="0" w:type="auto"/>
      <w:tblLayout w:type="autofit"/>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2026-03-12T10:07:40+03:00</dcterms:created>
  <dcterms:modified xsi:type="dcterms:W3CDTF">2026-03-12T10:07:40+03:00</dcterms:modified>
</cp:coreProperties>
</file>

<file path=docProps/custom.xml><?xml version="1.0" encoding="utf-8"?>
<Properties xmlns="http://schemas.openxmlformats.org/officeDocument/2006/custom-properties" xmlns:vt="http://schemas.openxmlformats.org/officeDocument/2006/docPropsVTypes"/>
</file>