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61088-ОТПП/12</w:t>
      </w:r>
    </w:p>
    <w:p/>
    <w:p>
      <w:pPr/>
      <w:r>
        <w:rPr/>
        <w:t xml:space="preserve">10.03.2026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12</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39,8 кв.м., кадастровый (условный) номер: 13:20:0107001:120, адрес: Республика Мордовия, р-н. Теньгушевский, д. Баево, ул. Центральная, д. 9б.</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21 641.18</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2 164.12</w:t>
                  </w:r>
                </w:p>
              </w:tc>
              <w:tc>
                <w:tcPr>
                  <w:tcW w:w="4000" w:type="dxa"/>
                  <w:vAlign w:val="center"/>
                  <w:tcBorders>
                    <w:top w:val="single" w:sz="1" w:color="ffffff"/>
                    <w:left w:val="single" w:sz="1" w:color="ffffff"/>
                    <w:right w:val="single" w:sz="1" w:color="ffffff"/>
                    <w:bottom w:val="single" w:sz="1" w:color="ffffff"/>
                  </w:tcBorders>
                  <w:noWrap/>
                </w:tcPr>
                <w:p>
                  <w:pPr/>
                  <w:r>
                    <w:rPr/>
                    <w:t xml:space="preserve">21 641.18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2 055.91</w:t>
                  </w:r>
                </w:p>
              </w:tc>
              <w:tc>
                <w:tcPr>
                  <w:tcW w:w="4000" w:type="dxa"/>
                  <w:vAlign w:val="center"/>
                  <w:tcBorders>
                    <w:top w:val="single" w:sz="1" w:color="ffffff"/>
                    <w:left w:val="single" w:sz="1" w:color="ffffff"/>
                    <w:right w:val="single" w:sz="1" w:color="ffffff"/>
                    <w:bottom w:val="single" w:sz="1" w:color="ffffff"/>
                  </w:tcBorders>
                  <w:noWrap/>
                </w:tcPr>
                <w:p>
                  <w:pPr/>
                  <w:r>
                    <w:rPr/>
                    <w:t xml:space="preserve">20 559.12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1 947.71</w:t>
                  </w:r>
                </w:p>
              </w:tc>
              <w:tc>
                <w:tcPr>
                  <w:tcW w:w="4000" w:type="dxa"/>
                  <w:vAlign w:val="center"/>
                  <w:tcBorders>
                    <w:top w:val="single" w:sz="1" w:color="ffffff"/>
                    <w:left w:val="single" w:sz="1" w:color="ffffff"/>
                    <w:right w:val="single" w:sz="1" w:color="ffffff"/>
                    <w:bottom w:val="single" w:sz="1" w:color="ffffff"/>
                  </w:tcBorders>
                  <w:noWrap/>
                </w:tcPr>
                <w:p>
                  <w:pPr/>
                  <w:r>
                    <w:rPr/>
                    <w:t xml:space="preserve">19 477.06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1 839.50</w:t>
                  </w:r>
                </w:p>
              </w:tc>
              <w:tc>
                <w:tcPr>
                  <w:tcW w:w="4000" w:type="dxa"/>
                  <w:vAlign w:val="center"/>
                  <w:tcBorders>
                    <w:top w:val="single" w:sz="1" w:color="ffffff"/>
                    <w:left w:val="single" w:sz="1" w:color="ffffff"/>
                    <w:right w:val="single" w:sz="1" w:color="ffffff"/>
                    <w:bottom w:val="single" w:sz="1" w:color="ffffff"/>
                  </w:tcBorders>
                  <w:noWrap/>
                </w:tcPr>
                <w:p>
                  <w:pPr/>
                  <w:r>
                    <w:rPr/>
                    <w:t xml:space="preserve">18 395.00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1 731.29</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17 312.94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1 623.09</w:t>
                  </w:r>
                </w:p>
              </w:tc>
              <w:tc>
                <w:tcPr>
                  <w:tcW w:w="4000" w:type="dxa"/>
                  <w:vAlign w:val="center"/>
                  <w:tcBorders>
                    <w:top w:val="single" w:sz="1" w:color="ffffff"/>
                    <w:left w:val="single" w:sz="1" w:color="ffffff"/>
                    <w:right w:val="single" w:sz="1" w:color="ffffff"/>
                    <w:bottom w:val="single" w:sz="1" w:color="ffffff"/>
                  </w:tcBorders>
                  <w:noWrap/>
                </w:tcPr>
                <w:p>
                  <w:pPr/>
                  <w:r>
                    <w:rPr/>
                    <w:t xml:space="preserve">16 230.89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1 514.88</w:t>
                  </w:r>
                </w:p>
              </w:tc>
              <w:tc>
                <w:tcPr>
                  <w:tcW w:w="4000" w:type="dxa"/>
                  <w:vAlign w:val="center"/>
                  <w:tcBorders>
                    <w:top w:val="single" w:sz="1" w:color="ffffff"/>
                    <w:left w:val="single" w:sz="1" w:color="ffffff"/>
                    <w:right w:val="single" w:sz="1" w:color="ffffff"/>
                    <w:bottom w:val="single" w:sz="1" w:color="ffffff"/>
                  </w:tcBorders>
                  <w:noWrap/>
                </w:tcPr>
                <w:p>
                  <w:pPr/>
                  <w:r>
                    <w:rPr/>
                    <w:t xml:space="preserve">15 148.83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1 406.68</w:t>
                  </w:r>
                </w:p>
              </w:tc>
              <w:tc>
                <w:tcPr>
                  <w:tcW w:w="4000" w:type="dxa"/>
                  <w:vAlign w:val="center"/>
                  <w:tcBorders>
                    <w:top w:val="single" w:sz="1" w:color="ffffff"/>
                    <w:left w:val="single" w:sz="1" w:color="ffffff"/>
                    <w:right w:val="single" w:sz="1" w:color="ffffff"/>
                    <w:bottom w:val="single" w:sz="1" w:color="ffffff"/>
                  </w:tcBorders>
                  <w:noWrap/>
                </w:tcPr>
                <w:p>
                  <w:pPr/>
                  <w:r>
                    <w:rPr/>
                    <w:t xml:space="preserve">14 066.77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1 298.47</w:t>
                  </w:r>
                </w:p>
              </w:tc>
              <w:tc>
                <w:tcPr>
                  <w:tcW w:w="4000" w:type="dxa"/>
                  <w:vAlign w:val="center"/>
                  <w:tcBorders>
                    <w:top w:val="single" w:sz="1" w:color="ffffff"/>
                    <w:left w:val="single" w:sz="1" w:color="ffffff"/>
                    <w:right w:val="single" w:sz="1" w:color="ffffff"/>
                    <w:bottom w:val="single" w:sz="1" w:color="ffffff"/>
                  </w:tcBorders>
                  <w:noWrap/>
                </w:tcPr>
                <w:p>
                  <w:pPr/>
                  <w:r>
                    <w:rPr/>
                    <w:t xml:space="preserve">12 984.71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1 190.26</w:t>
                  </w:r>
                </w:p>
              </w:tc>
              <w:tc>
                <w:tcPr>
                  <w:tcW w:w="4000" w:type="dxa"/>
                  <w:vAlign w:val="center"/>
                  <w:tcBorders>
                    <w:top w:val="single" w:sz="1" w:color="ffffff"/>
                    <w:left w:val="single" w:sz="1" w:color="ffffff"/>
                    <w:right w:val="single" w:sz="1" w:color="ffffff"/>
                    <w:bottom w:val="single" w:sz="1" w:color="ffffff"/>
                  </w:tcBorders>
                  <w:noWrap/>
                </w:tcPr>
                <w:p>
                  <w:pPr/>
                  <w:r>
                    <w:rPr/>
                    <w:t xml:space="preserve">11 902.65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1 082.06</w:t>
                  </w:r>
                </w:p>
              </w:tc>
              <w:tc>
                <w:tcPr>
                  <w:tcW w:w="4000" w:type="dxa"/>
                  <w:vAlign w:val="center"/>
                  <w:tcBorders>
                    <w:top w:val="single" w:sz="1" w:color="ffffff"/>
                    <w:left w:val="single" w:sz="1" w:color="ffffff"/>
                    <w:right w:val="single" w:sz="1" w:color="ffffff"/>
                    <w:bottom w:val="single" w:sz="1" w:color="ffffff"/>
                  </w:tcBorders>
                  <w:noWrap/>
                </w:tcPr>
                <w:p>
                  <w:pPr/>
                  <w:r>
                    <w:rPr/>
                    <w:t xml:space="preserve">10 820.59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973.85</w:t>
                  </w:r>
                </w:p>
              </w:tc>
              <w:tc>
                <w:tcPr>
                  <w:tcW w:w="4000" w:type="dxa"/>
                  <w:vAlign w:val="center"/>
                  <w:tcBorders>
                    <w:top w:val="single" w:sz="1" w:color="ffffff"/>
                    <w:left w:val="single" w:sz="1" w:color="ffffff"/>
                    <w:right w:val="single" w:sz="1" w:color="ffffff"/>
                    <w:bottom w:val="single" w:sz="1" w:color="ffffff"/>
                  </w:tcBorders>
                  <w:noWrap/>
                </w:tcPr>
                <w:p>
                  <w:pPr/>
                  <w:r>
                    <w:rPr/>
                    <w:t xml:space="preserve">9 738.53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865.65</w:t>
                  </w:r>
                </w:p>
              </w:tc>
              <w:tc>
                <w:tcPr>
                  <w:tcW w:w="4000" w:type="dxa"/>
                  <w:vAlign w:val="center"/>
                  <w:tcBorders>
                    <w:top w:val="single" w:sz="1" w:color="ffffff"/>
                    <w:left w:val="single" w:sz="1" w:color="ffffff"/>
                    <w:right w:val="single" w:sz="1" w:color="ffffff"/>
                    <w:bottom w:val="single" w:sz="1" w:color="ffffff"/>
                  </w:tcBorders>
                  <w:noWrap/>
                </w:tcPr>
                <w:p>
                  <w:pPr/>
                  <w:r>
                    <w:rPr/>
                    <w:t xml:space="preserve">8 656.47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757.44</w:t>
                  </w:r>
                </w:p>
              </w:tc>
              <w:tc>
                <w:tcPr>
                  <w:tcW w:w="4000" w:type="dxa"/>
                  <w:vAlign w:val="center"/>
                  <w:tcBorders>
                    <w:top w:val="single" w:sz="1" w:color="ffffff"/>
                    <w:left w:val="single" w:sz="1" w:color="ffffff"/>
                    <w:right w:val="single" w:sz="1" w:color="ffffff"/>
                    <w:bottom w:val="single" w:sz="1" w:color="ffffff"/>
                  </w:tcBorders>
                  <w:noWrap/>
                </w:tcPr>
                <w:p>
                  <w:pPr/>
                  <w:r>
                    <w:rPr/>
                    <w:t xml:space="preserve">7 574.41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649.24</w:t>
                  </w:r>
                </w:p>
              </w:tc>
              <w:tc>
                <w:tcPr>
                  <w:tcW w:w="4000" w:type="dxa"/>
                  <w:vAlign w:val="center"/>
                  <w:tcBorders>
                    <w:top w:val="single" w:sz="1" w:color="ffffff"/>
                    <w:left w:val="single" w:sz="1" w:color="ffffff"/>
                    <w:right w:val="single" w:sz="1" w:color="ffffff"/>
                    <w:bottom w:val="single" w:sz="1" w:color="ffffff"/>
                  </w:tcBorders>
                  <w:noWrap/>
                </w:tcPr>
                <w:p>
                  <w:pPr/>
                  <w:r>
                    <w:rPr/>
                    <w:t xml:space="preserve">6 492.35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541.03</w:t>
                  </w:r>
                </w:p>
              </w:tc>
              <w:tc>
                <w:tcPr>
                  <w:tcW w:w="4000" w:type="dxa"/>
                  <w:vAlign w:val="center"/>
                  <w:tcBorders>
                    <w:top w:val="single" w:sz="1" w:color="ffffff"/>
                    <w:left w:val="single" w:sz="1" w:color="ffffff"/>
                    <w:right w:val="single" w:sz="1" w:color="ffffff"/>
                    <w:bottom w:val="single" w:sz="1" w:color="ffffff"/>
                  </w:tcBorders>
                  <w:noWrap/>
                </w:tcPr>
                <w:p>
                  <w:pPr/>
                  <w:r>
                    <w:rPr/>
                    <w:t xml:space="preserve">5 410.30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432.82</w:t>
                  </w:r>
                </w:p>
              </w:tc>
              <w:tc>
                <w:tcPr>
                  <w:tcW w:w="4000" w:type="dxa"/>
                  <w:vAlign w:val="center"/>
                  <w:tcBorders>
                    <w:top w:val="single" w:sz="1" w:color="ffffff"/>
                    <w:left w:val="single" w:sz="1" w:color="ffffff"/>
                    <w:right w:val="single" w:sz="1" w:color="ffffff"/>
                    <w:bottom w:val="single" w:sz="1" w:color="ffffff"/>
                  </w:tcBorders>
                  <w:noWrap/>
                </w:tcPr>
                <w:p>
                  <w:pPr/>
                  <w:r>
                    <w:rPr/>
                    <w:t xml:space="preserve">4 328.24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324.62</w:t>
                  </w:r>
                </w:p>
              </w:tc>
              <w:tc>
                <w:tcPr>
                  <w:tcW w:w="4000" w:type="dxa"/>
                  <w:vAlign w:val="center"/>
                  <w:tcBorders>
                    <w:top w:val="single" w:sz="1" w:color="ffffff"/>
                    <w:left w:val="single" w:sz="1" w:color="ffffff"/>
                    <w:right w:val="single" w:sz="1" w:color="ffffff"/>
                    <w:bottom w:val="single" w:sz="1" w:color="ffffff"/>
                  </w:tcBorders>
                  <w:noWrap/>
                </w:tcPr>
                <w:p>
                  <w:pPr/>
                  <w:r>
                    <w:rPr/>
                    <w:t xml:space="preserve">3 246.18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216.41</w:t>
                  </w:r>
                </w:p>
              </w:tc>
              <w:tc>
                <w:tcPr>
                  <w:tcW w:w="4000" w:type="dxa"/>
                  <w:vAlign w:val="center"/>
                  <w:tcBorders>
                    <w:top w:val="single" w:sz="1" w:color="ffffff"/>
                    <w:left w:val="single" w:sz="1" w:color="ffffff"/>
                    <w:right w:val="single" w:sz="1" w:color="ffffff"/>
                    <w:bottom w:val="single" w:sz="1" w:color="ffffff"/>
                  </w:tcBorders>
                  <w:noWrap/>
                </w:tcPr>
                <w:p>
                  <w:pPr/>
                  <w:r>
                    <w:rPr/>
                    <w:t xml:space="preserve">2 164.12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108.21</w:t>
                  </w:r>
                </w:p>
              </w:tc>
              <w:tc>
                <w:tcPr>
                  <w:tcW w:w="4000" w:type="dxa"/>
                  <w:vAlign w:val="center"/>
                  <w:tcBorders>
                    <w:top w:val="single" w:sz="1" w:color="ffffff"/>
                    <w:left w:val="single" w:sz="1" w:color="ffffff"/>
                    <w:right w:val="single" w:sz="1" w:color="ffffff"/>
                    <w:bottom w:val="single" w:sz="1" w:color="ffffff"/>
                  </w:tcBorders>
                  <w:noWrap/>
                </w:tcPr>
                <w:p>
                  <w:pPr/>
                  <w:r>
                    <w:rPr/>
                    <w:t xml:space="preserve">1 082.06</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61088-ОТПП-12-196274</w:t>
                  </w:r>
                </w:p>
              </w:tc>
              <w:tc>
                <w:tcPr>
                  <w:tcW w:w="4000" w:type="dxa"/>
                  <w:vAlign w:val="center"/>
                  <w:tcBorders>
                    <w:top w:val="single" w:sz="1" w:color="ffffff"/>
                    <w:left w:val="single" w:sz="1" w:color="ffffff"/>
                    <w:right w:val="single" w:sz="1" w:color="ffffff"/>
                    <w:bottom w:val="single" w:sz="1" w:color="ffffff"/>
                  </w:tcBorders>
                  <w:noWrap/>
                </w:tcPr>
                <w:p>
                  <w:pPr/>
                  <w:r>
                    <w:rPr/>
                    <w:t xml:space="preserve">09.03.2026 21:51:33.793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Чеснаков Дмитрий Валерьевич (ИНН 132000652869, ОГРНИП: 318132600027970)</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Ценовые предложения, поданные в ходе торгов</w:t>
            </w:r>
          </w:p>
        </w:tc>
      </w:tr>
      <w:tr>
        <w:trPr/>
        <w:tc>
          <w:tcPr>
            <w:tcW w:w="10000" w:type="dxa"/>
            <w:vAlign w:val="center"/>
            <w:gridSpan w:val="2"/>
            <w:noWrap/>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25 000.00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09.03.2026 21:51:33.793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Чеснаков Дмитрий Валерьевич (ИНН 132000652869, место жительства: Республика Мордовия Теньгушевский район с Теньгушево ул Верхняя 9)</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Результаты торгов</w:t>
            </w:r>
          </w:p>
        </w:tc>
      </w:tr>
      <w:tr>
        <w:trPr/>
        <w:tc>
          <w:tcPr>
            <w:tcW w:w="10000" w:type="dxa"/>
            <w:vAlign w:val="center"/>
            <w:gridSpan w:val="2"/>
            <w:noWrap/>
          </w:tcPr>
          <w:p>
            <w:pPr/>
            <w:r>
              <w:rPr/>
              <w:t xml:space="preserve">Торги завершены</w:t>
            </w:r>
          </w:p>
        </w:tc>
      </w:tr>
      <w:tr>
        <w:trPr/>
        <w:tc>
          <w:tcPr>
            <w:tcW w:w="10000" w:type="dxa"/>
            <w:vAlign w:val="center"/>
            <w:gridSpan w:val="2"/>
            <w:noWrap/>
          </w:tcPr>
          <w:p>
            <w:pPr/>
            <w:r>
              <w:rPr/>
              <w:t xml:space="preserve">Наиболее высокую цену в размере 25 000.00 рублей за имущество, составляющее Лот, предложил участник ИП Чеснаков Дмитрий Валерьевич (ИНН 132000652869, место жительства: Республика Мордовия Теньгушевский район с Теньгушево ул Верхняя 9), который признается победителем торгов по лоту.</w:t>
            </w:r>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2026-03-10T11:06:51+03:00</dcterms:created>
  <dcterms:modified xsi:type="dcterms:W3CDTF">2026-03-10T11:06:51+03:00</dcterms:modified>
</cp:coreProperties>
</file>

<file path=docProps/custom.xml><?xml version="1.0" encoding="utf-8"?>
<Properties xmlns="http://schemas.openxmlformats.org/officeDocument/2006/custom-properties" xmlns:vt="http://schemas.openxmlformats.org/officeDocument/2006/docPropsVTypes"/>
</file>