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60713-ОТПП/1</w:t>
      </w:r>
    </w:p>
    <w:p/>
    <w:p>
      <w:pPr/>
      <w:r>
        <w:rPr/>
        <w:t xml:space="preserve">16.03.2026 г.</w:t>
      </w:r>
    </w:p>
    <w:p/>
    <w:tbl>
      <w:tblGrid>
        <w:gridCol w:w="4000" w:type="dxa"/>
        <w:gridCol w:w="6000" w:type="dxa"/>
      </w:tblGrid>
      <w:tblPr>
        <w:tblStyle w:val="noborder"/>
      </w:tblPr>
      <w:tr>
        <w:trPr/>
        <w:tc>
          <w:tcPr>
            <w:tcW w:w="10000" w:type="dxa"/>
            <w:vAlign w:val="center"/>
            <w:gridSpan w:val="2"/>
            <w:noWrap/>
          </w:tcPr>
          <w:p>
            <w:pPr/>
            <w:r>
              <w:rPr>
                <w:rStyle w:val="table_header"/>
              </w:rPr>
              <w:t xml:space="preserve">Организатор торгов</w:t>
            </w:r>
          </w:p>
        </w:tc>
      </w:tr>
      <w:tr>
        <w:trPr/>
        <w:tc>
          <w:tcPr>
            <w:tcW w:w="4000" w:type="dxa"/>
            <w:vAlign w:val="center"/>
            <w:noWrap/>
          </w:tcPr>
          <w:p>
            <w:pPr/>
            <w:r>
              <w:rPr/>
              <w:t xml:space="preserve">ФИО:</w:t>
            </w:r>
          </w:p>
        </w:tc>
        <w:tc>
          <w:tcPr>
            <w:tcW w:w="6000" w:type="dxa"/>
            <w:vAlign w:val="center"/>
            <w:noWrap/>
          </w:tcPr>
          <w:p>
            <w:pPr/>
            <w:r>
              <w:rPr/>
              <w:t xml:space="preserve">Гусак Екатерина Валентиновна</w:t>
            </w:r>
          </w:p>
        </w:tc>
      </w:tr>
      <w:tr>
        <w:trPr/>
        <w:tc>
          <w:tcPr>
            <w:tcW w:w="4000" w:type="dxa"/>
            <w:vAlign w:val="center"/>
            <w:noWrap/>
          </w:tcPr>
          <w:p>
            <w:pPr/>
            <w:r>
              <w:rPr/>
              <w:t xml:space="preserve">ИНН:</w:t>
            </w:r>
          </w:p>
        </w:tc>
        <w:tc>
          <w:tcPr>
            <w:tcW w:w="6000" w:type="dxa"/>
            <w:vAlign w:val="center"/>
            <w:noWrap/>
          </w:tcPr>
          <w:p>
            <w:pPr/>
            <w:r>
              <w:rPr/>
              <w:t xml:space="preserve">390805228236</w:t>
            </w:r>
          </w:p>
        </w:tc>
      </w:tr>
      <w:tr>
        <w:trPr/>
        <w:tc>
          <w:tcPr>
            <w:tcW w:w="4000" w:type="dxa"/>
            <w:vAlign w:val="center"/>
            <w:noWrap/>
          </w:tcPr>
          <w:p>
            <w:pPr/>
            <w:r>
              <w:rPr/>
              <w:t xml:space="preserve">Телефон/факс:</w:t>
            </w:r>
          </w:p>
        </w:tc>
        <w:tc>
          <w:tcPr>
            <w:tcW w:w="6000" w:type="dxa"/>
            <w:vAlign w:val="center"/>
            <w:noWrap/>
          </w:tcPr>
          <w:p>
            <w:pPr/>
            <w:r>
              <w:rPr/>
              <w:t xml:space="preserve">89220418539</w:t>
            </w:r>
          </w:p>
        </w:tc>
      </w:tr>
      <w:tr>
        <w:trPr/>
        <w:tc>
          <w:tcPr>
            <w:tcW w:w="10000" w:type="dxa"/>
            <w:vAlign w:val="center"/>
            <w:gridSpan w:val="2"/>
            <w:noWrap/>
          </w:tcPr>
          <w:p/>
        </w:tc>
      </w:tr>
      <w:tr>
        <w:trPr/>
        <w:tc>
          <w:tcPr>
            <w:tcW w:w="10000" w:type="dxa"/>
            <w:vAlign w:val="center"/>
            <w:gridSpan w:val="2"/>
            <w:noWrap/>
          </w:tcPr>
          <w:p>
            <w:pPr/>
            <w:r>
              <w:rPr>
                <w:rStyle w:val="table_header"/>
              </w:rPr>
              <w:t xml:space="preserve">Сведения о должнике</w:t>
            </w:r>
          </w:p>
        </w:tc>
      </w:tr>
      <w:tr>
        <w:trPr/>
        <w:tc>
          <w:tcPr>
            <w:tcW w:w="4000" w:type="dxa"/>
            <w:vAlign w:val="center"/>
            <w:noWrap/>
          </w:tcPr>
          <w:p>
            <w:pPr/>
            <w:r>
              <w:rPr/>
              <w:t xml:space="preserve">ФИО:</w:t>
            </w:r>
          </w:p>
        </w:tc>
        <w:tc>
          <w:tcPr>
            <w:tcW w:w="6000" w:type="dxa"/>
            <w:vAlign w:val="center"/>
            <w:noWrap/>
          </w:tcPr>
          <w:p>
            <w:pPr/>
            <w:r>
              <w:rPr/>
              <w:t xml:space="preserve">Галстян Датико Эдвардович</w:t>
            </w:r>
          </w:p>
        </w:tc>
      </w:tr>
      <w:tr>
        <w:trPr/>
        <w:tc>
          <w:tcPr>
            <w:tcW w:w="4000" w:type="dxa"/>
            <w:vAlign w:val="center"/>
            <w:noWrap/>
          </w:tcPr>
          <w:p>
            <w:pPr/>
            <w:r>
              <w:rPr/>
              <w:t xml:space="preserve">ИНН:</w:t>
            </w:r>
          </w:p>
        </w:tc>
        <w:tc>
          <w:tcPr>
            <w:tcW w:w="6000" w:type="dxa"/>
            <w:vAlign w:val="center"/>
            <w:noWrap/>
          </w:tcPr>
          <w:p>
            <w:pPr/>
            <w:r>
              <w:rPr/>
              <w:t xml:space="preserve">234814363887</w:t>
            </w:r>
          </w:p>
        </w:tc>
      </w:tr>
      <w:tr>
        <w:trPr/>
        <w:tc>
          <w:tcPr>
            <w:tcW w:w="4000" w:type="dxa"/>
            <w:vAlign w:val="center"/>
            <w:noWrap/>
          </w:tcPr>
          <w:p>
            <w:pPr/>
            <w:r>
              <w:rPr/>
              <w:t xml:space="preserve">Адрес:</w:t>
            </w:r>
          </w:p>
        </w:tc>
        <w:tc>
          <w:tcPr>
            <w:tcW w:w="6000" w:type="dxa"/>
            <w:vAlign w:val="center"/>
            <w:noWrap/>
          </w:tcPr>
          <w:p>
            <w:pPr/>
            <w:r>
              <w:rPr/>
              <w:t xml:space="preserve">353240, Краснодарский край, Северский р-н, ст-ца Северская, ул. Пушкина, д. 44, кв. 1</w:t>
            </w:r>
          </w:p>
        </w:tc>
      </w:tr>
      <w:tr>
        <w:trPr/>
        <w:tc>
          <w:tcPr>
            <w:tcW w:w="4000" w:type="dxa"/>
            <w:vAlign w:val="center"/>
            <w:noWrap/>
          </w:tcPr>
          <w:p>
            <w:pPr/>
            <w:r>
              <w:rPr/>
              <w:t xml:space="preserve">Номер дела:</w:t>
            </w:r>
          </w:p>
        </w:tc>
        <w:tc>
          <w:tcPr>
            <w:tcW w:w="6000" w:type="dxa"/>
            <w:vAlign w:val="center"/>
            <w:noWrap/>
          </w:tcPr>
          <w:p>
            <w:pPr/>
            <w:r>
              <w:rPr/>
              <w:t xml:space="preserve">А32-66886/2024</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Информация о торгах и лоте</w:t>
            </w:r>
          </w:p>
        </w:tc>
      </w:tr>
      <w:tr>
        <w:trPr/>
        <w:tc>
          <w:tcPr>
            <w:tcW w:w="4000" w:type="dxa"/>
            <w:vAlign w:val="center"/>
            <w:noWrap/>
          </w:tcPr>
          <w:p>
            <w:pPr/>
            <w:r>
              <w:rPr/>
              <w:t xml:space="preserve">Тип торгов:</w:t>
            </w:r>
          </w:p>
        </w:tc>
        <w:tc>
          <w:tcPr>
            <w:tcW w:w="6000" w:type="dxa"/>
            <w:vAlign w:val="center"/>
            <w:noWrap/>
          </w:tcPr>
          <w:p>
            <w:pPr/>
            <w:r>
              <w:rPr/>
              <w:t xml:space="preserve">Публичное предложение</w:t>
            </w:r>
          </w:p>
        </w:tc>
      </w:tr>
      <w:tr>
        <w:trPr/>
        <w:tc>
          <w:tcPr>
            <w:tcW w:w="4000" w:type="dxa"/>
            <w:vAlign w:val="center"/>
            <w:noWrap/>
          </w:tcPr>
          <w:p>
            <w:pPr/>
            <w:r>
              <w:rPr/>
              <w:t xml:space="preserve">Код торгов:</w:t>
            </w:r>
          </w:p>
        </w:tc>
        <w:tc>
          <w:tcPr>
            <w:tcW w:w="6000" w:type="dxa"/>
            <w:vAlign w:val="center"/>
            <w:noWrap/>
          </w:tcPr>
          <w:p>
            <w:pPr/>
            <w:r>
              <w:rPr/>
              <w:t xml:space="preserve">60713-ОТПП</w:t>
            </w:r>
          </w:p>
        </w:tc>
      </w:tr>
      <w:tr>
        <w:trPr/>
        <w:tc>
          <w:tcPr>
            <w:tcW w:w="4000" w:type="dxa"/>
            <w:vAlign w:val="center"/>
            <w:noWrap/>
          </w:tcPr>
          <w:p>
            <w:pPr/>
            <w:r>
              <w:rPr/>
              <w:t xml:space="preserve">Дата начала приема заявок:</w:t>
            </w:r>
          </w:p>
        </w:tc>
        <w:tc>
          <w:tcPr>
            <w:tcW w:w="6000" w:type="dxa"/>
            <w:vAlign w:val="center"/>
            <w:noWrap/>
          </w:tcPr>
          <w:p>
            <w:pPr/>
            <w:r>
              <w:rPr/>
              <w:t xml:space="preserve">13.02.2026 00:00:00</w:t>
            </w:r>
          </w:p>
        </w:tc>
      </w:tr>
      <w:tr>
        <w:trPr/>
        <w:tc>
          <w:tcPr>
            <w:tcW w:w="4000" w:type="dxa"/>
            <w:vAlign w:val="center"/>
            <w:noWrap/>
          </w:tcPr>
          <w:p>
            <w:pPr/>
            <w:r>
              <w:rPr/>
              <w:t xml:space="preserve">Дата окончания приема заявок:</w:t>
            </w:r>
          </w:p>
        </w:tc>
        <w:tc>
          <w:tcPr>
            <w:tcW w:w="6000" w:type="dxa"/>
            <w:vAlign w:val="center"/>
            <w:noWrap/>
          </w:tcPr>
          <w:p>
            <w:pPr/>
            <w:r>
              <w:rPr/>
              <w:t xml:space="preserve">30.03.2026 00:00:00</w:t>
            </w:r>
          </w:p>
        </w:tc>
      </w:tr>
      <w:tr>
        <w:trPr/>
        <w:tc>
          <w:tcPr>
            <w:tcW w:w="4000" w:type="dxa"/>
            <w:vAlign w:val="center"/>
            <w:noWrap/>
          </w:tcPr>
          <w:p/>
        </w:tc>
        <w:tc>
          <w:tcPr>
            <w:tcW w:w="6000" w:type="dxa"/>
            <w:vAlign w:val="center"/>
            <w:noWrap/>
          </w:tcPr>
          <w:p/>
        </w:tc>
      </w:tr>
      <w:tr>
        <w:trPr/>
        <w:tc>
          <w:tcPr>
            <w:tcW w:w="4000" w:type="dxa"/>
            <w:vAlign w:val="center"/>
            <w:noWrap/>
          </w:tcPr>
          <w:p>
            <w:pPr/>
            <w:r>
              <w:rPr/>
              <w:t xml:space="preserve">Номер лота:</w:t>
            </w:r>
          </w:p>
        </w:tc>
        <w:tc>
          <w:tcPr>
            <w:tcW w:w="6000" w:type="dxa"/>
            <w:vAlign w:val="center"/>
            <w:noWrap/>
          </w:tcPr>
          <w:p>
            <w:pPr/>
            <w:r>
              <w:rPr/>
              <w:t xml:space="preserve">1</w:t>
            </w:r>
          </w:p>
        </w:tc>
      </w:tr>
      <w:tr>
        <w:trPr/>
        <w:tc>
          <w:tcPr>
            <w:tcW w:w="4000" w:type="dxa"/>
            <w:vAlign w:val="center"/>
            <w:noWrap/>
          </w:tcPr>
          <w:p>
            <w:pPr/>
            <w:r>
              <w:rPr/>
              <w:t xml:space="preserve">Наименование имущества:</w:t>
            </w:r>
          </w:p>
        </w:tc>
        <w:tc>
          <w:tcPr>
            <w:tcW w:w="6000" w:type="dxa"/>
            <w:vAlign w:val="center"/>
            <w:noWrap/>
          </w:tcPr>
          <w:p>
            <w:pPr/>
            <w:r>
              <w:rPr/>
              <w:t xml:space="preserve">Грузовой фургон марки PEUGEOT PARTNER, 2011 г.в., VIN VF3GANFUCBX512413, Номер кузова (кабины) VF3GANFUCBX512413, цвет: Белый, Рабочий объём (куб.см) 1587, Мощность (л.с.) 80.2/109.0</w:t>
            </w:r>
          </w:p>
        </w:tc>
      </w:tr>
      <w:tr>
        <w:trPr/>
        <w:tc>
          <w:tcPr>
            <w:tcW w:w="4000" w:type="dxa"/>
            <w:vAlign w:val="center"/>
            <w:noWrap/>
          </w:tcPr>
          <w:p>
            <w:pPr/>
            <w:r>
              <w:rPr/>
              <w:t xml:space="preserve">Сведения об имуществе:</w:t>
            </w:r>
          </w:p>
        </w:tc>
        <w:tc>
          <w:tcPr>
            <w:tcW w:w="6000" w:type="dxa"/>
            <w:vAlign w:val="center"/>
            <w:noWrap/>
          </w:tcPr>
          <w:p>
            <w:pPr/>
            <w:r>
              <w:rPr/>
              <w:t xml:space="preserve">Грузовой фургон марки PEUGEOT PARTNER, 2011 г.в., VIN VF3GANFUCBX512413, Номер кузова (кабины) VF3GANFUCBX512413, цвет: Белый, Рабочий объём (куб.см) 1587, Мощность (л.с.) 80.2/109.0</w:t>
            </w:r>
          </w:p>
        </w:tc>
      </w:tr>
      <w:tr>
        <w:trPr/>
        <w:tc>
          <w:tcPr>
            <w:tcW w:w="4000" w:type="dxa"/>
            <w:vAlign w:val="center"/>
            <w:noWrap/>
          </w:tcPr>
          <w:p>
            <w:pPr/>
            <w:r>
              <w:rPr/>
              <w:t xml:space="preserve">Стартовая цена продажи имущества:</w:t>
            </w:r>
          </w:p>
        </w:tc>
        <w:tc>
          <w:tcPr>
            <w:tcW w:w="6000" w:type="dxa"/>
            <w:vAlign w:val="center"/>
            <w:noWrap/>
          </w:tcPr>
          <w:p>
            <w:pPr/>
            <w:r>
              <w:rPr/>
              <w:t xml:space="preserve">486 000.00</w:t>
            </w:r>
          </w:p>
        </w:tc>
      </w:tr>
      <w:tr>
        <w:trPr/>
        <w:tc>
          <w:tcPr>
            <w:tcW w:w="4000" w:type="dxa"/>
            <w:vAlign w:val="center"/>
            <w:noWrap/>
          </w:tcPr>
          <w:p>
            <w:pPr/>
            <w:r>
              <w:rPr/>
              <w:t xml:space="preserve">Порядок и критерии определения победителя торгов:</w:t>
            </w:r>
          </w:p>
        </w:tc>
        <w:tc>
          <w:tcPr>
            <w:tcW w:w="6000" w:type="dxa"/>
            <w:vAlign w:val="center"/>
            <w:noWrap/>
          </w:tcPr>
          <w:p>
            <w:pPr/>
            <w:r>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noWrap/>
          </w:tcPr>
          <w:p/>
        </w:tc>
      </w:tr>
      <w:tr>
        <w:trPr/>
        <w:tc>
          <w:tcPr>
            <w:tcW w:w="10000" w:type="dxa"/>
            <w:vAlign w:val="center"/>
            <w:gridSpan w:val="2"/>
            <w:noWrap/>
          </w:tcPr>
          <w:p>
            <w:pPr/>
            <w:r>
              <w:rPr>
                <w:rStyle w:val="table_header"/>
              </w:rPr>
              <w:t xml:space="preserve">Интервалы снижения для лота</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18.02.2026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97 200.00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486 000.00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18.02.2026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87 480.00</w:t>
                  </w:r>
                </w:p>
              </w:tc>
              <w:tc>
                <w:tcPr>
                  <w:tcW w:w="4000" w:type="dxa"/>
                  <w:vAlign w:val="center"/>
                  <w:tcBorders>
                    <w:top w:val="single" w:sz="1" w:color="ffffff"/>
                    <w:left w:val="single" w:sz="1" w:color="ffffff"/>
                    <w:right w:val="single" w:sz="1" w:color="ffffff"/>
                    <w:bottom w:val="single" w:sz="1" w:color="ffffff"/>
                  </w:tcBorders>
                  <w:noWrap/>
                </w:tcPr>
                <w:p>
                  <w:pPr/>
                  <w:r>
                    <w:rPr/>
                    <w:t xml:space="preserve">437 400.00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23.02.2026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28.02.2026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77 760.00</w:t>
                  </w:r>
                </w:p>
              </w:tc>
              <w:tc>
                <w:tcPr>
                  <w:tcW w:w="4000" w:type="dxa"/>
                  <w:vAlign w:val="center"/>
                  <w:tcBorders>
                    <w:top w:val="single" w:sz="1" w:color="ffffff"/>
                    <w:left w:val="single" w:sz="1" w:color="ffffff"/>
                    <w:right w:val="single" w:sz="1" w:color="ffffff"/>
                    <w:bottom w:val="single" w:sz="1" w:color="ffffff"/>
                  </w:tcBorders>
                  <w:noWrap/>
                </w:tcPr>
                <w:p>
                  <w:pPr/>
                  <w:r>
                    <w:rPr/>
                    <w:t xml:space="preserve">388 800.00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28.02.2026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05.03.2026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68 040.00</w:t>
                  </w:r>
                </w:p>
              </w:tc>
              <w:tc>
                <w:tcPr>
                  <w:tcW w:w="4000" w:type="dxa"/>
                  <w:vAlign w:val="center"/>
                  <w:tcBorders>
                    <w:top w:val="single" w:sz="1" w:color="ffffff"/>
                    <w:left w:val="single" w:sz="1" w:color="ffffff"/>
                    <w:right w:val="single" w:sz="1" w:color="ffffff"/>
                    <w:bottom w:val="single" w:sz="1" w:color="ffffff"/>
                  </w:tcBorders>
                  <w:noWrap/>
                </w:tcPr>
                <w:p>
                  <w:pPr/>
                  <w:r>
                    <w:rPr/>
                    <w:t xml:space="preserve">340 200.00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05.03.2026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10.03.2026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58 320.00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291 600.00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10.03.2026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15.03.2026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48 600.00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243 000.00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15.03.2026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20.03.2026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38 880.00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194 400.00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20.03.2026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25.03.2026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29 160.00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145 800.00</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25.03.2026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30.03.2026 00:00</w:t>
                  </w:r>
                </w:p>
              </w:tc>
              <w:tc>
                <w:tcPr>
                  <w:tcW w:w="4000" w:type="dxa"/>
                  <w:vAlign w:val="center"/>
                  <w:tcBorders>
                    <w:top w:val="single" w:sz="1" w:color="ffffff"/>
                    <w:left w:val="single" w:sz="1" w:color="ffffff"/>
                    <w:right w:val="single" w:sz="1" w:color="ffffff"/>
                    <w:bottom w:val="single" w:sz="1" w:color="ffffff"/>
                  </w:tcBorders>
                  <w:noWrap/>
                </w:tcPr>
                <w:p>
                  <w:pPr/>
                  <w:r>
                    <w:rPr/>
                    <w:t xml:space="preserve">19 440.00</w:t>
                  </w:r>
                </w:p>
              </w:tc>
              <w:tc>
                <w:tcPr>
                  <w:tcW w:w="4000" w:type="dxa"/>
                  <w:vAlign w:val="center"/>
                  <w:tcBorders>
                    <w:top w:val="single" w:sz="1" w:color="ffffff"/>
                    <w:left w:val="single" w:sz="1" w:color="ffffff"/>
                    <w:right w:val="single" w:sz="1" w:color="ffffff"/>
                    <w:bottom w:val="single" w:sz="1" w:color="ffffff"/>
                  </w:tcBorders>
                  <w:noWrap/>
                </w:tcPr>
                <w:p>
                  <w:pPr/>
                  <w:r>
                    <w:rPr/>
                    <w:t xml:space="preserve">97 200.00</w:t>
                  </w:r>
                </w:p>
              </w:tc>
            </w:tr>
          </w:tbl>
          <w:p/>
        </w:tc>
      </w:tr>
      <w:tr>
        <w:trPr/>
        <w:tc>
          <w:tcPr>
            <w:tcW w:w="10000" w:type="dxa"/>
            <w:vAlign w:val="center"/>
            <w:gridSpan w:val="2"/>
            <w:noWrap/>
          </w:tcPr>
          <w:p/>
        </w:tc>
      </w:tr>
      <w:tr>
        <w:trPr/>
        <w:tc>
          <w:tcPr>
            <w:tcW w:w="10000" w:type="dxa"/>
            <w:vAlign w:val="center"/>
            <w:gridSpan w:val="2"/>
            <w:noWrap/>
          </w:tcPr>
          <w:p>
            <w:pPr/>
            <w:r>
              <w:rPr>
                <w:rStyle w:val="table_header"/>
              </w:rPr>
              <w:t xml:space="preserve">Поданные заявки</w:t>
            </w:r>
          </w:p>
        </w:tc>
      </w:tr>
      <w:tr>
        <w:trPr/>
        <w:tc>
          <w:tcPr>
            <w:tcW w:w="10000" w:type="dxa"/>
            <w:vAlign w:val="center"/>
            <w:gridSpan w:val="2"/>
            <w:noWrap/>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fill="cdd1da"/>
                  <w:noWrap/>
                </w:tcPr>
                <w:p>
                  <w:pPr/>
                  <w:r>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noWrap/>
                </w:tcPr>
                <w:p>
                  <w:pPr/>
                  <w:r>
                    <w:rPr/>
                    <w:t xml:space="preserve">60713-ОТПП-1-196451</w:t>
                  </w:r>
                </w:p>
              </w:tc>
              <w:tc>
                <w:tcPr>
                  <w:tcW w:w="4000" w:type="dxa"/>
                  <w:vAlign w:val="center"/>
                  <w:tcBorders>
                    <w:top w:val="single" w:sz="1" w:color="ffffff"/>
                    <w:left w:val="single" w:sz="1" w:color="ffffff"/>
                    <w:right w:val="single" w:sz="1" w:color="ffffff"/>
                    <w:bottom w:val="single" w:sz="1" w:color="ffffff"/>
                  </w:tcBorders>
                  <w:noWrap/>
                </w:tcPr>
                <w:p>
                  <w:pPr/>
                  <w:r>
                    <w:rPr/>
                    <w:t xml:space="preserve">14.03.2026 23:17:42.485</w:t>
                  </w:r>
                </w:p>
              </w:tc>
              <w:tc>
                <w:tcPr>
                  <w:tcW w:w="4000" w:type="dxa"/>
                  <w:vAlign w:val="center"/>
                  <w:tcBorders>
                    <w:top w:val="single" w:sz="1" w:color="ffffff"/>
                    <w:left w:val="single" w:sz="1" w:color="ffffff"/>
                    <w:right w:val="single" w:sz="1" w:color="ffffff"/>
                    <w:bottom w:val="single" w:sz="1" w:color="ffffff"/>
                  </w:tcBorders>
                  <w:noWrap/>
                </w:tcPr>
                <w:p>
                  <w:pPr/>
                  <w:r>
                    <w:rPr/>
                    <w:t xml:space="preserve">ОБЩЕСТВО С ОГРАНИЧЕННОЙ ОТВЕТСТВЕННОСТЬЮ ИНТЕРНЕТ-КОМПАНИЯ ПАРУС (ИНН 1831153390, ОГРН: 1121831002589), действующий в интересах следующего принципала: Донецков Александр Анатольевич (ИНН 343704935401)</w:t>
                  </w:r>
                </w:p>
              </w:tc>
              <w:tc>
                <w:tcPr>
                  <w:tcW w:w="4000" w:type="dxa"/>
                  <w:vAlign w:val="center"/>
                  <w:tcBorders>
                    <w:top w:val="single" w:sz="1" w:color="ffffff"/>
                    <w:left w:val="single" w:sz="1" w:color="ffffff"/>
                    <w:right w:val="single" w:sz="1" w:color="ffffff"/>
                    <w:bottom w:val="single" w:sz="1" w:color="ffffff"/>
                  </w:tcBorders>
                  <w:noWrap/>
                </w:tcPr>
                <w:p>
                  <w:pPr/>
                  <w:r>
                    <w:rPr/>
                    <w:t xml:space="preserve">Заявка допущена</w:t>
                  </w:r>
                </w:p>
              </w:tc>
            </w:tr>
          </w:tbl>
          <w:p/>
        </w:tc>
      </w:tr>
      <w:tr>
        <w:trPr/>
        <w:tc>
          <w:tcPr>
            <w:tcW w:w="10000" w:type="dxa"/>
            <w:vAlign w:val="center"/>
            <w:gridSpan w:val="2"/>
            <w:noWrap/>
          </w:tcPr>
          <w:p/>
        </w:tc>
      </w:tr>
    </w:tbl>
    <w:p>
      <w:pPr/>
      <w:r>
        <w:rPr/>
        <w:t xml:space="preserve"/>
      </w:r>
    </w:p>
    <w:p/>
    <w:p/>
    <w:p>
      <w:pPr/>
      <w:r>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val="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6"/>
        <w:szCs w:val="26"/>
        <w:lang w:val="en-US"/>
      </w:rPr>
    </w:rPrDefault>
  </w:docDefaults>
  <w:style w:type="paragraph" w:default="1" w:styleId="Normal">
    <w:name w:val="Normal"/>
    <w:pPr>
      <w:jc w:val="left"/>
      <w:ind w:left="0" w:right="0" w:firstLine="0" w:hanging="0"/>
      <w:spacing w:after="0"/>
    </w:pPr>
  </w:style>
  <w:style w:type="character" w:styleId="FootnoteReference">
    <w:name w:val="Footnote Reference"/>
    <w:semiHidden/>
    <w:unhideWhenUsed/>
    <w:rPr>
      <w:vertAlign w:val="superscript"/>
    </w:rPr>
  </w:style>
  <w:style w:type="character">
    <w:name w:val="Footnote Reference"/>
    <w:rPr>
      <w:vertAlign w:val="superscript"/>
    </w:rPr>
  </w:style>
  <w:style w:type="paragraph" w:customStyle="1" w:styleId="center">
    <w:name w:val="center"/>
    <w:basedOn w:val="Normal"/>
    <w:pPr>
      <w:jc w:val="center"/>
      <w:spacing w:after="0"/>
    </w:pPr>
  </w:style>
  <w:style w:type="character">
    <w:name w:val="doc_header"/>
    <w:rPr>
      <w:sz w:val="24"/>
      <w:szCs w:val="24"/>
      <w:b w:val="1"/>
      <w:bCs w:val="1"/>
      <w:smallCaps w:val="0"/>
      <w:caps w:val="1"/>
    </w:rPr>
  </w:style>
  <w:style w:type="character">
    <w:name w:val="bold"/>
    <w:rPr>
      <w:b w:val="1"/>
      <w:bCs w:val="1"/>
    </w:rPr>
  </w:style>
  <w:style w:type="character">
    <w:name w:val="table_header"/>
    <w:rPr>
      <w:color w:val="BE1E2D"/>
    </w:rPr>
  </w:style>
  <w:style w:type="table" w:customStyle="1" w:styleId="noborder">
    <w:name w:val="noborder"/>
    <w:uiPriority w:val="99"/>
    <w:tblPr>
      <w:tblW w:w="0" w:type="auto"/>
      <w:tblLayout w:type="autofit"/>
      <w:tblCellMar>
        <w:top w:w="10" w:type="dxa"/>
        <w:left w:w="10" w:type="dxa"/>
        <w:right w:w="10" w:type="dxa"/>
        <w:bottom w:w="10" w:type="dxa"/>
      </w:tblCellMar>
    </w:tblPr>
  </w:style>
  <w:style w:type="table" w:customStyle="1" w:styleId="border">
    <w:name w:val="border"/>
    <w:uiPriority w:val="99"/>
    <w:tblPr>
      <w:tblW w:w="0" w:type="auto"/>
      <w:tblLayout w:type="autofit"/>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2026-03-16T12:06:33+03:00</dcterms:created>
  <dcterms:modified xsi:type="dcterms:W3CDTF">2026-03-16T12:06:33+03:00</dcterms:modified>
</cp:coreProperties>
</file>

<file path=docProps/custom.xml><?xml version="1.0" encoding="utf-8"?>
<Properties xmlns="http://schemas.openxmlformats.org/officeDocument/2006/custom-properties" xmlns:vt="http://schemas.openxmlformats.org/officeDocument/2006/docPropsVTypes"/>
</file>