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8,17% от стоимости лота, находящееся в залоге у АО «Росагролизинг» – 79,91% от стоимости лота, не являющееся предметом залога – 11,91%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(в т.ч. права аренды), находящееся в залоге у Банка ВТБ (ПАО) – 8,17% от стоимости лота, находящееся в залоге у АО «Росагролизинг» – 79,91% от стоимости лота, не являющееся предметом залога – 11,91% от стоимости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83 292 129.90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4 164 606.50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