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59941-ОТПП/1 О ПРИЗНАНИИ НЕСОСТОЯВШИМИСЯ ОТКРЫТЫХ ТОРГОВ В ФОРМЕ ПУБЛИЧНОГО ПРЕДЛОЖЕНИЯ ПО ПРОДАЖЕ ИМУЩЕСТВА</w:t>
      </w:r>
    </w:p>
    <w:p/>
    <w:p>
      <w:pPr/>
      <w:r>
        <w:rPr/>
        <w:t xml:space="preserve">06.03.2026 г.</w:t>
      </w:r>
    </w:p>
    <w:p/>
    <w:tbl>
      <w:tblGrid>
        <w:gridCol w:w="4000" w:type="dxa"/>
        <w:gridCol w:w="6000" w:type="dxa"/>
      </w:tblGrid>
      <w:tblPr>
        <w:tblStyle w:val="noborder"/>
      </w:tblPr>
      <w:tr>
        <w:trPr/>
        <w:tc>
          <w:tcPr>
            <w:tcW w:w="10000" w:type="dxa"/>
            <w:vAlign w:val="center"/>
            <w:gridSpan w:val="2"/>
            <w:noWrap/>
          </w:tcPr>
          <w:p>
            <w:pPr/>
            <w:r>
              <w:rPr>
                <w:rStyle w:val="table_header"/>
              </w:rPr>
              <w:t xml:space="preserve">Организатор торгов</w:t>
            </w:r>
          </w:p>
        </w:tc>
      </w:tr>
      <w:tr>
        <w:trPr/>
        <w:tc>
          <w:tcPr>
            <w:tcW w:w="4000" w:type="dxa"/>
            <w:vAlign w:val="center"/>
            <w:noWrap/>
          </w:tcPr>
          <w:p>
            <w:pPr/>
            <w:r>
              <w:rPr/>
              <w:t xml:space="preserve">ФИО:</w:t>
            </w:r>
          </w:p>
        </w:tc>
        <w:tc>
          <w:tcPr>
            <w:tcW w:w="6000" w:type="dxa"/>
            <w:vAlign w:val="center"/>
            <w:noWrap/>
          </w:tcPr>
          <w:p>
            <w:pPr/>
            <w:r>
              <w:rPr/>
              <w:t xml:space="preserve">Арсеньева Оксана Юрьевна</w:t>
            </w:r>
          </w:p>
        </w:tc>
      </w:tr>
      <w:tr>
        <w:trPr/>
        <w:tc>
          <w:tcPr>
            <w:tcW w:w="4000" w:type="dxa"/>
            <w:vAlign w:val="center"/>
            <w:noWrap/>
          </w:tcPr>
          <w:p>
            <w:pPr/>
            <w:r>
              <w:rPr/>
              <w:t xml:space="preserve">ИНН:</w:t>
            </w:r>
          </w:p>
        </w:tc>
        <w:tc>
          <w:tcPr>
            <w:tcW w:w="6000" w:type="dxa"/>
            <w:vAlign w:val="center"/>
            <w:noWrap/>
          </w:tcPr>
          <w:p>
            <w:pPr/>
            <w:r>
              <w:rPr/>
              <w:t xml:space="preserve">410117226617</w:t>
            </w:r>
          </w:p>
        </w:tc>
      </w:tr>
      <w:tr>
        <w:trPr/>
        <w:tc>
          <w:tcPr>
            <w:tcW w:w="4000" w:type="dxa"/>
            <w:vAlign w:val="center"/>
            <w:noWrap/>
          </w:tcPr>
          <w:p>
            <w:pPr/>
            <w:r>
              <w:rPr/>
              <w:t xml:space="preserve">Телефон/факс:</w:t>
            </w:r>
          </w:p>
        </w:tc>
        <w:tc>
          <w:tcPr>
            <w:tcW w:w="6000" w:type="dxa"/>
            <w:vAlign w:val="center"/>
            <w:noWrap/>
          </w:tcPr>
          <w:p>
            <w:pPr/>
            <w:r>
              <w:rPr/>
              <w:t xml:space="preserve">89220418539</w:t>
            </w:r>
          </w:p>
        </w:tc>
      </w:tr>
      <w:tr>
        <w:trPr/>
        <w:tc>
          <w:tcPr>
            <w:tcW w:w="10000" w:type="dxa"/>
            <w:vAlign w:val="center"/>
            <w:gridSpan w:val="2"/>
            <w:noWrap/>
          </w:tcPr>
          <w:p/>
        </w:tc>
      </w:tr>
      <w:tr>
        <w:trPr/>
        <w:tc>
          <w:tcPr>
            <w:tcW w:w="10000" w:type="dxa"/>
            <w:vAlign w:val="center"/>
            <w:gridSpan w:val="2"/>
            <w:noWrap/>
          </w:tcPr>
          <w:p>
            <w:pPr/>
            <w:r>
              <w:rPr>
                <w:rStyle w:val="table_header"/>
              </w:rPr>
              <w:t xml:space="preserve">Сведения о должнике</w:t>
            </w:r>
          </w:p>
        </w:tc>
      </w:tr>
      <w:tr>
        <w:trPr/>
        <w:tc>
          <w:tcPr>
            <w:tcW w:w="4000" w:type="dxa"/>
            <w:vAlign w:val="center"/>
            <w:noWrap/>
          </w:tcPr>
          <w:p>
            <w:pPr/>
            <w:r>
              <w:rPr/>
              <w:t xml:space="preserve">ФИО:</w:t>
            </w:r>
          </w:p>
        </w:tc>
        <w:tc>
          <w:tcPr>
            <w:tcW w:w="6000" w:type="dxa"/>
            <w:vAlign w:val="center"/>
            <w:noWrap/>
          </w:tcPr>
          <w:p>
            <w:pPr/>
            <w:r>
              <w:rPr/>
              <w:t xml:space="preserve">Слобожанина Алсу Анатольевна</w:t>
            </w:r>
          </w:p>
        </w:tc>
      </w:tr>
      <w:tr>
        <w:trPr/>
        <w:tc>
          <w:tcPr>
            <w:tcW w:w="4000" w:type="dxa"/>
            <w:vAlign w:val="center"/>
            <w:noWrap/>
          </w:tcPr>
          <w:p>
            <w:pPr/>
            <w:r>
              <w:rPr/>
              <w:t xml:space="preserve">ИНН:</w:t>
            </w:r>
          </w:p>
        </w:tc>
        <w:tc>
          <w:tcPr>
            <w:tcW w:w="6000" w:type="dxa"/>
            <w:vAlign w:val="center"/>
            <w:noWrap/>
          </w:tcPr>
          <w:p>
            <w:pPr/>
            <w:r>
              <w:rPr/>
              <w:t xml:space="preserve">182905075521</w:t>
            </w:r>
          </w:p>
        </w:tc>
      </w:tr>
      <w:tr>
        <w:trPr/>
        <w:tc>
          <w:tcPr>
            <w:tcW w:w="4000" w:type="dxa"/>
            <w:vAlign w:val="center"/>
            <w:noWrap/>
          </w:tcPr>
          <w:p>
            <w:pPr/>
            <w:r>
              <w:rPr/>
              <w:t xml:space="preserve">Адрес:</w:t>
            </w:r>
          </w:p>
        </w:tc>
        <w:tc>
          <w:tcPr>
            <w:tcW w:w="6000" w:type="dxa"/>
            <w:vAlign w:val="center"/>
            <w:noWrap/>
          </w:tcPr>
          <w:p>
            <w:pPr/>
            <w:r>
              <w:rPr/>
              <w:t xml:space="preserve">Удмуртская Респ., Увинский р-н, п. Ува, пер. Прудовый, д. 41, кв. 2</w:t>
            </w:r>
          </w:p>
        </w:tc>
      </w:tr>
      <w:tr>
        <w:trPr/>
        <w:tc>
          <w:tcPr>
            <w:tcW w:w="4000" w:type="dxa"/>
            <w:vAlign w:val="center"/>
            <w:noWrap/>
          </w:tcPr>
          <w:p>
            <w:pPr/>
            <w:r>
              <w:rPr/>
              <w:t xml:space="preserve">Номер дела:</w:t>
            </w:r>
          </w:p>
        </w:tc>
        <w:tc>
          <w:tcPr>
            <w:tcW w:w="6000" w:type="dxa"/>
            <w:vAlign w:val="center"/>
            <w:noWrap/>
          </w:tcPr>
          <w:p>
            <w:pPr/>
            <w:r>
              <w:rPr/>
              <w:t xml:space="preserve">А71-1744/2024</w:t>
            </w:r>
          </w:p>
        </w:tc>
      </w:tr>
      <w:tr>
        <w:trPr/>
        <w:tc>
          <w:tcPr>
            <w:tcW w:w="10000" w:type="dxa"/>
            <w:vAlign w:val="center"/>
            <w:gridSpan w:val="2"/>
            <w:noWrap/>
          </w:tcPr>
          <w:p/>
        </w:tc>
      </w:tr>
      <w:tr>
        <w:trPr/>
        <w:tc>
          <w:tcPr>
            <w:tcW w:w="10000" w:type="dxa"/>
            <w:vAlign w:val="center"/>
            <w:gridSpan w:val="2"/>
            <w:noWrap/>
          </w:tcPr>
          <w:p>
            <w:pPr/>
            <w:r>
              <w:rPr>
                <w:rStyle w:val="table_header"/>
              </w:rPr>
              <w:t xml:space="preserve">Информация о торгах и лоте</w:t>
            </w:r>
          </w:p>
        </w:tc>
      </w:tr>
      <w:tr>
        <w:trPr/>
        <w:tc>
          <w:tcPr>
            <w:tcW w:w="4000" w:type="dxa"/>
            <w:vAlign w:val="center"/>
            <w:noWrap/>
          </w:tcPr>
          <w:p>
            <w:pPr/>
            <w:r>
              <w:rPr/>
              <w:t xml:space="preserve">Тип торгов:</w:t>
            </w:r>
          </w:p>
        </w:tc>
        <w:tc>
          <w:tcPr>
            <w:tcW w:w="6000" w:type="dxa"/>
            <w:vAlign w:val="center"/>
            <w:noWrap/>
          </w:tcPr>
          <w:p>
            <w:pPr/>
            <w:r>
              <w:rPr/>
              <w:t xml:space="preserve">Публичное предложение</w:t>
            </w:r>
          </w:p>
        </w:tc>
      </w:tr>
      <w:tr>
        <w:trPr/>
        <w:tc>
          <w:tcPr>
            <w:tcW w:w="4000" w:type="dxa"/>
            <w:vAlign w:val="center"/>
            <w:noWrap/>
          </w:tcPr>
          <w:p>
            <w:pPr/>
            <w:r>
              <w:rPr/>
              <w:t xml:space="preserve">Код торгов:</w:t>
            </w:r>
          </w:p>
        </w:tc>
        <w:tc>
          <w:tcPr>
            <w:tcW w:w="6000" w:type="dxa"/>
            <w:vAlign w:val="center"/>
            <w:noWrap/>
          </w:tcPr>
          <w:p>
            <w:pPr/>
            <w:r>
              <w:rPr/>
              <w:t xml:space="preserve">59941-ОТПП</w:t>
            </w:r>
          </w:p>
        </w:tc>
      </w:tr>
      <w:tr>
        <w:trPr/>
        <w:tc>
          <w:tcPr>
            <w:tcW w:w="4000" w:type="dxa"/>
            <w:vAlign w:val="center"/>
            <w:noWrap/>
          </w:tcPr>
          <w:p>
            <w:pPr/>
            <w:r>
              <w:rPr/>
              <w:t xml:space="preserve">Дата начала приема заявок:</w:t>
            </w:r>
          </w:p>
        </w:tc>
        <w:tc>
          <w:tcPr>
            <w:tcW w:w="6000" w:type="dxa"/>
            <w:vAlign w:val="center"/>
            <w:noWrap/>
          </w:tcPr>
          <w:p>
            <w:pPr/>
            <w:r>
              <w:rPr/>
              <w:t xml:space="preserve">20.01.2026 00:00:00</w:t>
            </w:r>
          </w:p>
        </w:tc>
      </w:tr>
      <w:tr>
        <w:trPr/>
        <w:tc>
          <w:tcPr>
            <w:tcW w:w="4000" w:type="dxa"/>
            <w:vAlign w:val="center"/>
            <w:noWrap/>
          </w:tcPr>
          <w:p>
            <w:pPr/>
            <w:r>
              <w:rPr/>
              <w:t xml:space="preserve">Дата окончания приема заявок:</w:t>
            </w:r>
          </w:p>
        </w:tc>
        <w:tc>
          <w:tcPr>
            <w:tcW w:w="6000" w:type="dxa"/>
            <w:vAlign w:val="center"/>
            <w:noWrap/>
          </w:tcPr>
          <w:p>
            <w:pPr/>
            <w:r>
              <w:rPr/>
              <w:t xml:space="preserve">06.03.2026 00:00:00</w:t>
            </w:r>
          </w:p>
        </w:tc>
      </w:tr>
      <w:tr>
        <w:trPr/>
        <w:tc>
          <w:tcPr>
            <w:tcW w:w="4000" w:type="dxa"/>
            <w:vAlign w:val="center"/>
            <w:noWrap/>
          </w:tcPr>
          <w:p/>
        </w:tc>
        <w:tc>
          <w:tcPr>
            <w:tcW w:w="6000" w:type="dxa"/>
            <w:vAlign w:val="center"/>
            <w:noWrap/>
          </w:tcPr>
          <w:p/>
        </w:tc>
      </w:tr>
      <w:tr>
        <w:trPr/>
        <w:tc>
          <w:tcPr>
            <w:tcW w:w="4000" w:type="dxa"/>
            <w:vAlign w:val="center"/>
            <w:noWrap/>
          </w:tcPr>
          <w:p>
            <w:pPr/>
            <w:r>
              <w:rPr/>
              <w:t xml:space="preserve">Номер лота:</w:t>
            </w:r>
          </w:p>
        </w:tc>
        <w:tc>
          <w:tcPr>
            <w:tcW w:w="6000" w:type="dxa"/>
            <w:vAlign w:val="center"/>
            <w:noWrap/>
          </w:tcPr>
          <w:p>
            <w:pPr/>
            <w:r>
              <w:rPr/>
              <w:t xml:space="preserve">1</w:t>
            </w:r>
          </w:p>
        </w:tc>
      </w:tr>
      <w:tr>
        <w:trPr/>
        <w:tc>
          <w:tcPr>
            <w:tcW w:w="4000" w:type="dxa"/>
            <w:vAlign w:val="center"/>
            <w:noWrap/>
          </w:tcPr>
          <w:p>
            <w:pPr/>
            <w:r>
              <w:rPr/>
              <w:t xml:space="preserve">Наименование имущества:</w:t>
            </w:r>
          </w:p>
        </w:tc>
        <w:tc>
          <w:tcPr>
            <w:tcW w:w="6000" w:type="dxa"/>
            <w:vAlign w:val="center"/>
            <w:noWrap/>
          </w:tcPr>
          <w:p>
            <w:pPr/>
            <w:r>
              <w:rPr/>
              <w:t xml:space="preserve">- Здание, назначение нежилое, площадь 65.3 кв.м, кадастровый номер 18:21:054002:229, адрес Удмуртская Республика, Увинский район, д. Ольховка, ул. Центральная, д. 6; - Право аренды земельного участка, кадастровый номер 18:21:054002:273, площадь 314 кв.м., адрес Удмуртская Республика, Увинский район, д. Ольховка, ул. Центральная, д. 6. Категория земель: Земли населенных пунктов. Вид разрешенного использования: Магазины. Код 4.4, предоставленное по Договору аренды №11-юр земельного участка, государственная собственность на который не разграничена от 28.04.2025</w:t>
            </w:r>
          </w:p>
        </w:tc>
      </w:tr>
      <w:tr>
        <w:trPr/>
        <w:tc>
          <w:tcPr>
            <w:tcW w:w="4000" w:type="dxa"/>
            <w:vAlign w:val="center"/>
            <w:noWrap/>
          </w:tcPr>
          <w:p>
            <w:pPr/>
            <w:r>
              <w:rPr/>
              <w:t xml:space="preserve">Сведения об имуществе:</w:t>
            </w:r>
          </w:p>
        </w:tc>
        <w:tc>
          <w:tcPr>
            <w:tcW w:w="6000" w:type="dxa"/>
            <w:vAlign w:val="center"/>
            <w:noWrap/>
          </w:tcPr>
          <w:p>
            <w:pPr/>
            <w:r>
              <w:rPr/>
              <w:t xml:space="preserve">- Здание, назначение нежилое, площадь 65.3 кв.м, кадастровый номер 18:21:054002:229, адрес Удмуртская Республика, Увинский район, д. Ольховка, ул. Центральная, д. 6; - Право аренды земельного участка, кадастровый номер 18:21:054002:273, площадь 314 кв.м., адрес Удмуртская Республика, Увинский район, д. Ольховка, ул. Центральная, д. 6. Категория земель: Земли населенных пунктов. Вид разрешенного использования: Магазины. Код 4.4, предоставленное по Договору аренды №11-юр земельного участка, государственная собственность на который не разграничена от 28.04.2025</w:t>
            </w:r>
          </w:p>
        </w:tc>
      </w:tr>
      <w:tr>
        <w:trPr/>
        <w:tc>
          <w:tcPr>
            <w:tcW w:w="4000" w:type="dxa"/>
            <w:vAlign w:val="center"/>
            <w:noWrap/>
          </w:tcPr>
          <w:p>
            <w:pPr/>
            <w:r>
              <w:rPr/>
              <w:t xml:space="preserve">Стартовая цена продажи имущества:</w:t>
            </w:r>
          </w:p>
        </w:tc>
        <w:tc>
          <w:tcPr>
            <w:tcW w:w="6000" w:type="dxa"/>
            <w:vAlign w:val="center"/>
            <w:noWrap/>
          </w:tcPr>
          <w:p>
            <w:pPr/>
            <w:r>
              <w:rPr/>
              <w:t xml:space="preserve">264 600.00</w:t>
            </w:r>
          </w:p>
        </w:tc>
      </w:tr>
      <w:tr>
        <w:trPr/>
        <w:tc>
          <w:tcPr>
            <w:tcW w:w="4000" w:type="dxa"/>
            <w:vAlign w:val="center"/>
            <w:noWrap/>
          </w:tcPr>
          <w:p>
            <w:pPr/>
            <w:r>
              <w:rPr/>
              <w:t xml:space="preserve">Порядок и критерии определения победителя торгов:</w:t>
            </w:r>
          </w:p>
        </w:tc>
        <w:tc>
          <w:tcPr>
            <w:tcW w:w="6000" w:type="dxa"/>
            <w:vAlign w:val="center"/>
            <w:noWrap/>
          </w:tcPr>
          <w:p>
            <w:pPr/>
            <w:r>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noWrap/>
          </w:tcPr>
          <w:p/>
        </w:tc>
      </w:tr>
      <w:tr>
        <w:trPr/>
        <w:tc>
          <w:tcPr>
            <w:tcW w:w="10000" w:type="dxa"/>
            <w:vAlign w:val="center"/>
            <w:gridSpan w:val="2"/>
            <w:noWrap/>
          </w:tcPr>
          <w:p>
            <w:pPr/>
            <w:r>
              <w:rPr>
                <w:rStyle w:val="table_header"/>
              </w:rPr>
              <w:t xml:space="preserve">Интервалы снижения для лота</w:t>
            </w:r>
          </w:p>
        </w:tc>
      </w:tr>
      <w:tr>
        <w:trPr/>
        <w:tc>
          <w:tcPr>
            <w:tcW w:w="10000" w:type="dxa"/>
            <w:vAlign w:val="center"/>
            <w:gridSpan w:val="2"/>
            <w:noWrap/>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20.01.2026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25.01.2026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52 920.00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264 600.00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25.01.2026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30.01.2026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47 628.00</w:t>
                  </w:r>
                </w:p>
              </w:tc>
              <w:tc>
                <w:tcPr>
                  <w:tcW w:w="4000" w:type="dxa"/>
                  <w:vAlign w:val="center"/>
                  <w:tcBorders>
                    <w:top w:val="single" w:sz="1" w:color="ffffff"/>
                    <w:left w:val="single" w:sz="1" w:color="ffffff"/>
                    <w:right w:val="single" w:sz="1" w:color="ffffff"/>
                    <w:bottom w:val="single" w:sz="1" w:color="ffffff"/>
                  </w:tcBorders>
                  <w:noWrap/>
                </w:tcPr>
                <w:p>
                  <w:pPr/>
                  <w:r>
                    <w:rPr/>
                    <w:t xml:space="preserve">238 140.00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30.01.2026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04.02.2026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42 336.00</w:t>
                  </w:r>
                </w:p>
              </w:tc>
              <w:tc>
                <w:tcPr>
                  <w:tcW w:w="4000" w:type="dxa"/>
                  <w:vAlign w:val="center"/>
                  <w:tcBorders>
                    <w:top w:val="single" w:sz="1" w:color="ffffff"/>
                    <w:left w:val="single" w:sz="1" w:color="ffffff"/>
                    <w:right w:val="single" w:sz="1" w:color="ffffff"/>
                    <w:bottom w:val="single" w:sz="1" w:color="ffffff"/>
                  </w:tcBorders>
                  <w:noWrap/>
                </w:tcPr>
                <w:p>
                  <w:pPr/>
                  <w:r>
                    <w:rPr/>
                    <w:t xml:space="preserve">211 680.00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04.02.2026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09.02.2026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37 044.00</w:t>
                  </w:r>
                </w:p>
              </w:tc>
              <w:tc>
                <w:tcPr>
                  <w:tcW w:w="4000" w:type="dxa"/>
                  <w:vAlign w:val="center"/>
                  <w:tcBorders>
                    <w:top w:val="single" w:sz="1" w:color="ffffff"/>
                    <w:left w:val="single" w:sz="1" w:color="ffffff"/>
                    <w:right w:val="single" w:sz="1" w:color="ffffff"/>
                    <w:bottom w:val="single" w:sz="1" w:color="ffffff"/>
                  </w:tcBorders>
                  <w:noWrap/>
                </w:tcPr>
                <w:p>
                  <w:pPr/>
                  <w:r>
                    <w:rPr/>
                    <w:t xml:space="preserve">185 220.00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09.02.2026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14.02.2026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31 752.00</w:t>
                  </w:r>
                </w:p>
              </w:tc>
              <w:tc>
                <w:tcPr>
                  <w:tcW w:w="4000" w:type="dxa"/>
                  <w:vAlign w:val="center"/>
                  <w:tcBorders>
                    <w:top w:val="single" w:sz="1" w:color="ffffff"/>
                    <w:left w:val="single" w:sz="1" w:color="ffffff"/>
                    <w:right w:val="single" w:sz="1" w:color="ffffff"/>
                    <w:bottom w:val="single" w:sz="1" w:color="ffffff"/>
                  </w:tcBorders>
                  <w:noWrap/>
                </w:tcPr>
                <w:p>
                  <w:pPr/>
                  <w:r>
                    <w:rPr/>
                    <w:t xml:space="preserve">158 760.00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14.02.2026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19.02.2026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26 460.00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132 300.00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19.02.2026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24.02.2026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21 168.00</w:t>
                  </w:r>
                </w:p>
              </w:tc>
              <w:tc>
                <w:tcPr>
                  <w:tcW w:w="4000" w:type="dxa"/>
                  <w:vAlign w:val="center"/>
                  <w:tcBorders>
                    <w:top w:val="single" w:sz="1" w:color="ffffff"/>
                    <w:left w:val="single" w:sz="1" w:color="ffffff"/>
                    <w:right w:val="single" w:sz="1" w:color="ffffff"/>
                    <w:bottom w:val="single" w:sz="1" w:color="ffffff"/>
                  </w:tcBorders>
                  <w:noWrap/>
                </w:tcPr>
                <w:p>
                  <w:pPr/>
                  <w:r>
                    <w:rPr/>
                    <w:t xml:space="preserve">105 840.00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24.02.2026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01.03.2026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15 876.00</w:t>
                  </w:r>
                </w:p>
              </w:tc>
              <w:tc>
                <w:tcPr>
                  <w:tcW w:w="4000" w:type="dxa"/>
                  <w:vAlign w:val="center"/>
                  <w:tcBorders>
                    <w:top w:val="single" w:sz="1" w:color="ffffff"/>
                    <w:left w:val="single" w:sz="1" w:color="ffffff"/>
                    <w:right w:val="single" w:sz="1" w:color="ffffff"/>
                    <w:bottom w:val="single" w:sz="1" w:color="ffffff"/>
                  </w:tcBorders>
                  <w:noWrap/>
                </w:tcPr>
                <w:p>
                  <w:pPr/>
                  <w:r>
                    <w:rPr/>
                    <w:t xml:space="preserve">79 380.00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01.03.2026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06.03.2026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10 584.00</w:t>
                  </w:r>
                </w:p>
              </w:tc>
              <w:tc>
                <w:tcPr>
                  <w:tcW w:w="4000" w:type="dxa"/>
                  <w:vAlign w:val="center"/>
                  <w:tcBorders>
                    <w:top w:val="single" w:sz="1" w:color="ffffff"/>
                    <w:left w:val="single" w:sz="1" w:color="ffffff"/>
                    <w:right w:val="single" w:sz="1" w:color="ffffff"/>
                    <w:bottom w:val="single" w:sz="1" w:color="ffffff"/>
                  </w:tcBorders>
                  <w:noWrap/>
                </w:tcPr>
                <w:p>
                  <w:pPr/>
                  <w:r>
                    <w:rPr/>
                    <w:t xml:space="preserve">52 920.00</w:t>
                  </w:r>
                </w:p>
              </w:tc>
            </w:tr>
          </w:tbl>
          <w:p/>
        </w:tc>
      </w:tr>
      <w:tr>
        <w:trPr/>
        <w:tc>
          <w:tcPr>
            <w:tcW w:w="10000" w:type="dxa"/>
            <w:vAlign w:val="center"/>
            <w:gridSpan w:val="2"/>
            <w:noWrap/>
          </w:tcPr>
          <w:p/>
        </w:tc>
      </w:tr>
      <w:tr>
        <w:trPr/>
        <w:tc>
          <w:tcPr>
            <w:tcW w:w="10000" w:type="dxa"/>
            <w:vAlign w:val="center"/>
            <w:gridSpan w:val="2"/>
            <w:noWrap/>
          </w:tcPr>
          <w:p>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noWrap/>
          </w:tcPr>
          <w:p>
            <w:pPr/>
            <w:r>
              <w:rPr/>
              <w:t xml:space="preserve">Допущенные заявки отсутствуют</w:t>
            </w:r>
          </w:p>
        </w:tc>
      </w:tr>
      <w:tr>
        <w:trPr/>
        <w:tc>
          <w:tcPr>
            <w:tcW w:w="10000" w:type="dxa"/>
            <w:vAlign w:val="center"/>
            <w:gridSpan w:val="2"/>
            <w:noWrap/>
          </w:tcPr>
          <w:p/>
        </w:tc>
      </w:tr>
      <w:tr>
        <w:trPr/>
        <w:tc>
          <w:tcPr>
            <w:tcW w:w="10000" w:type="dxa"/>
            <w:vAlign w:val="center"/>
            <w:gridSpan w:val="2"/>
            <w:noWrap/>
          </w:tcPr>
          <w:p>
            <w:pPr/>
            <w:r>
              <w:rPr>
                <w:rStyle w:val="table_header"/>
              </w:rPr>
              <w:t xml:space="preserve">Ценовые предложения, поданные в ходе торгов</w:t>
            </w:r>
          </w:p>
        </w:tc>
      </w:tr>
      <w:tr>
        <w:trPr/>
        <w:tc>
          <w:tcPr>
            <w:tcW w:w="10000" w:type="dxa"/>
            <w:vAlign w:val="center"/>
            <w:gridSpan w:val="2"/>
            <w:noWrap/>
          </w:tcPr>
          <w:p>
            <w:pPr/>
            <w:r>
              <w:rPr/>
              <w:t xml:space="preserve">Ценовых предложений на этот лот не подано</w:t>
            </w:r>
          </w:p>
        </w:tc>
      </w:tr>
      <w:tr>
        <w:trPr/>
        <w:tc>
          <w:tcPr>
            <w:tcW w:w="10000" w:type="dxa"/>
            <w:vAlign w:val="center"/>
            <w:gridSpan w:val="2"/>
            <w:noWrap/>
          </w:tcPr>
          <w:p/>
        </w:tc>
      </w:tr>
      <w:tr>
        <w:trPr/>
        <w:tc>
          <w:tcPr>
            <w:tcW w:w="10000" w:type="dxa"/>
            <w:vAlign w:val="center"/>
            <w:gridSpan w:val="2"/>
            <w:noWrap/>
          </w:tcPr>
          <w:p>
            <w:pPr/>
            <w:r>
              <w:rPr>
                <w:rStyle w:val="table_header"/>
              </w:rPr>
              <w:t xml:space="preserve">Результаты торгов</w:t>
            </w:r>
          </w:p>
        </w:tc>
      </w:tr>
      <w:tr>
        <w:trPr/>
        <w:tc>
          <w:tcPr>
            <w:tcW w:w="10000" w:type="dxa"/>
            <w:vAlign w:val="center"/>
            <w:gridSpan w:val="2"/>
            <w:noWrap/>
          </w:tcPr>
          <w:p>
            <w:pPr/>
            <w:r>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noWrap/>
          </w:tcPr>
          <w:p/>
        </w:tc>
      </w:tr>
    </w:tbl>
    <w:p>
      <w:pPr/>
      <w:r>
        <w:rPr/>
        <w:t xml:space="preserve"/>
      </w:r>
    </w:p>
    <w:p/>
    <w:p/>
    <w:p>
      <w:pPr/>
      <w:r>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val="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6"/>
        <w:szCs w:val="26"/>
        <w:lang w:val="en-US"/>
      </w:rPr>
    </w:rPrDefault>
  </w:docDefaults>
  <w:style w:type="paragraph" w:default="1" w:styleId="Normal">
    <w:name w:val="Normal"/>
    <w:pPr>
      <w:jc w:val="left"/>
      <w:ind w:left="0" w:right="0" w:firstLine="0" w:hanging="0"/>
      <w:spacing w:after="0"/>
    </w:pPr>
  </w:style>
  <w:style w:type="character" w:styleId="FootnoteReference">
    <w:name w:val="Footnote Reference"/>
    <w:semiHidden/>
    <w:unhideWhenUsed/>
    <w:rPr>
      <w:vertAlign w:val="superscript"/>
    </w:rPr>
  </w:style>
  <w:style w:type="character">
    <w:name w:val="Footnote Reference"/>
    <w:rPr>
      <w:vertAlign w:val="superscript"/>
    </w:rPr>
  </w:style>
  <w:style w:type="paragraph" w:customStyle="1" w:styleId="center">
    <w:name w:val="center"/>
    <w:basedOn w:val="Normal"/>
    <w:pPr>
      <w:jc w:val="center"/>
      <w:spacing w:after="0"/>
    </w:pPr>
  </w:style>
  <w:style w:type="character">
    <w:name w:val="doc_header"/>
    <w:rPr>
      <w:sz w:val="24"/>
      <w:szCs w:val="24"/>
      <w:b w:val="1"/>
      <w:bCs w:val="1"/>
      <w:smallCaps w:val="0"/>
      <w:caps w:val="1"/>
    </w:rPr>
  </w:style>
  <w:style w:type="character">
    <w:name w:val="bold"/>
    <w:rPr>
      <w:b w:val="1"/>
      <w:bCs w:val="1"/>
    </w:rPr>
  </w:style>
  <w:style w:type="character">
    <w:name w:val="table_header"/>
    <w:rPr>
      <w:color w:val="BE1E2D"/>
    </w:rPr>
  </w:style>
  <w:style w:type="table" w:customStyle="1" w:styleId="noborder">
    <w:name w:val="noborder"/>
    <w:uiPriority w:val="99"/>
    <w:tblPr>
      <w:tblW w:w="0" w:type="auto"/>
      <w:tblLayout w:type="autofit"/>
      <w:tblCellMar>
        <w:top w:w="10" w:type="dxa"/>
        <w:left w:w="10" w:type="dxa"/>
        <w:right w:w="10" w:type="dxa"/>
        <w:bottom w:w="10" w:type="dxa"/>
      </w:tblCellMar>
    </w:tblPr>
  </w:style>
  <w:style w:type="table" w:customStyle="1" w:styleId="border">
    <w:name w:val="border"/>
    <w:uiPriority w:val="99"/>
    <w:tblPr>
      <w:tblW w:w="0" w:type="auto"/>
      <w:tblLayout w:type="autofit"/>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2026-03-06T14:17:29+03:00</dcterms:created>
  <dcterms:modified xsi:type="dcterms:W3CDTF">2026-03-06T14:17:29+03:00</dcterms:modified>
</cp:coreProperties>
</file>

<file path=docProps/custom.xml><?xml version="1.0" encoding="utf-8"?>
<Properties xmlns="http://schemas.openxmlformats.org/officeDocument/2006/custom-properties" xmlns:vt="http://schemas.openxmlformats.org/officeDocument/2006/docPropsVTypes"/>
</file>