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19,14% от стоимости лота, находящееся в залоге у АО «Росагролизинг» – 41,04% от стоимости лота, не являющееся предметом залога – 39,81%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48 472 384.00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