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53061-ОАОФ/1</w:t>
      </w:r>
    </w:p>
    <w:p/>
    <w:p>
      <w:pPr>
        <w:pStyle w:val=""/>
      </w:pPr>
      <w:r>
        <w:rPr>
          <w:rStyle w:val=""/>
        </w:rPr>
        <w:t xml:space="preserve">05.08.2025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24:11:0320203:679, назначение объекта дачное строительство, площадь 10100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район. Вид собственности: общая долевая собственность, доля в праве 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770 024.00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2025-08-05T11:33:40+03:00</dcterms:created>
  <dcterms:modified xsi:type="dcterms:W3CDTF">2025-08-05T11:33:40+03:00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