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center"/>
      </w:pPr>
      <w:r>
        <w:rPr>
          <w:rStyle w:val="doc_header"/>
        </w:rPr>
        <w:t xml:space="preserve">РЕШЕНИЕ № 50711-ОАОФ/9 О ПРИЗНАНИИ НЕСОСТОЯВШИМИСЯ ОТКРЫТЫХ ТОРГОВ В ФОРМЕ АУКЦИОНА ПО ПРОДАЖЕ ИМУЩЕСТВА</w:t>
      </w:r>
    </w:p>
    <w:p/>
    <w:p>
      <w:pPr>
        <w:pStyle w:val=""/>
      </w:pPr>
      <w:r>
        <w:rPr>
          <w:rStyle w:val=""/>
        </w:rPr>
        <w:t xml:space="preserve">17.06.2025 г.</w:t>
      </w:r>
    </w:p>
    <w:p/>
    <w:tbl>
      <w:tblGrid>
        <w:gridCol w:w="4000" w:type="dxa"/>
        <w:gridCol w:w="6000" w:type="dxa"/>
      </w:tblGrid>
      <w:tblPr>
        <w:tblStyle w:val="noborder"/>
      </w:tblPr>
      <w:tr>
        <w:trPr/>
        <w:tc>
          <w:tcPr>
            <w:tcW w:w="10000" w:type="dxa"/>
            <w:vAlign w:val="center"/>
            <w:gridSpan w:val="2"/>
          </w:tcPr>
          <w:p>
            <w:pPr>
              <w:pStyle w:val=""/>
            </w:pPr>
            <w:r>
              <w:rPr>
                <w:rStyle w:val="table_header"/>
              </w:rPr>
              <w:t xml:space="preserve">Организатор торгов</w:t>
            </w:r>
          </w:p>
        </w:tc>
      </w:tr>
      <w:tr>
        <w:trPr/>
        <w:tc>
          <w:tcPr>
            <w:tcW w:w="4000" w:type="dxa"/>
            <w:vAlign w:val="center"/>
          </w:tcPr>
          <w:p>
            <w:pPr>
              <w:pStyle w:val=""/>
            </w:pPr>
            <w:r>
              <w:rPr>
                <w:rStyle w:val=""/>
              </w:rPr>
              <w:t xml:space="preserve">ФИО:</w:t>
            </w:r>
          </w:p>
        </w:tc>
        <w:tc>
          <w:tcPr>
            <w:tcW w:w="6000" w:type="dxa"/>
            <w:vAlign w:val="center"/>
          </w:tcPr>
          <w:p>
            <w:pPr>
              <w:pStyle w:val=""/>
            </w:pPr>
            <w:r>
              <w:rPr>
                <w:rStyle w:val=""/>
              </w:rPr>
              <w:t xml:space="preserve">Попов Александр Владимирович</w:t>
            </w:r>
          </w:p>
        </w:tc>
      </w:tr>
      <w:tr>
        <w:trPr/>
        <w:tc>
          <w:tcPr>
            <w:tcW w:w="4000" w:type="dxa"/>
            <w:vAlign w:val="center"/>
          </w:tcPr>
          <w:p>
            <w:pPr>
              <w:pStyle w:val=""/>
            </w:pPr>
            <w:r>
              <w:rPr>
                <w:rStyle w:val=""/>
              </w:rPr>
              <w:t xml:space="preserve">ИНН:</w:t>
            </w:r>
          </w:p>
        </w:tc>
        <w:tc>
          <w:tcPr>
            <w:tcW w:w="6000" w:type="dxa"/>
            <w:vAlign w:val="center"/>
          </w:tcPr>
          <w:p>
            <w:pPr>
              <w:pStyle w:val=""/>
            </w:pPr>
            <w:r>
              <w:rPr>
                <w:rStyle w:val=""/>
              </w:rPr>
              <w:t xml:space="preserve">230100466128</w:t>
            </w:r>
          </w:p>
        </w:tc>
      </w:tr>
      <w:tr>
        <w:trPr/>
        <w:tc>
          <w:tcPr>
            <w:tcW w:w="4000" w:type="dxa"/>
            <w:vAlign w:val="center"/>
          </w:tcPr>
          <w:p>
            <w:pPr>
              <w:pStyle w:val=""/>
            </w:pPr>
            <w:r>
              <w:rPr>
                <w:rStyle w:val=""/>
              </w:rPr>
              <w:t xml:space="preserve">Телефон/факс:</w:t>
            </w:r>
          </w:p>
        </w:tc>
        <w:tc>
          <w:tcPr>
            <w:tcW w:w="6000" w:type="dxa"/>
            <w:vAlign w:val="center"/>
          </w:tcPr>
          <w:p>
            <w:pPr>
              <w:pStyle w:val=""/>
            </w:pPr>
            <w:r>
              <w:rPr>
                <w:rStyle w:val=""/>
              </w:rPr>
              <w:t xml:space="preserve">89191603996</w:t>
            </w:r>
          </w:p>
        </w:tc>
      </w:tr>
      <w:tr>
        <w:trPr/>
        <w:tc>
          <w:tcPr>
            <w:tcW w:w="10000" w:type="dxa"/>
            <w:vAlign w:val="center"/>
            <w:gridSpan w:val="2"/>
          </w:tcPr>
          <w:p/>
        </w:tc>
      </w:tr>
      <w:tr>
        <w:trPr/>
        <w:tc>
          <w:tcPr>
            <w:tcW w:w="10000" w:type="dxa"/>
            <w:vAlign w:val="center"/>
            <w:gridSpan w:val="2"/>
          </w:tcPr>
          <w:p>
            <w:pPr>
              <w:pStyle w:val=""/>
            </w:pPr>
            <w:r>
              <w:rPr>
                <w:rStyle w:val="table_header"/>
              </w:rPr>
              <w:t xml:space="preserve">Сведения о должнике</w:t>
            </w:r>
          </w:p>
        </w:tc>
      </w:tr>
      <w:tr>
        <w:trPr/>
        <w:tc>
          <w:tcPr>
            <w:tcW w:w="4000" w:type="dxa"/>
            <w:vAlign w:val="center"/>
          </w:tcPr>
          <w:p>
            <w:pPr>
              <w:pStyle w:val=""/>
            </w:pPr>
            <w:r>
              <w:rPr>
                <w:rStyle w:val=""/>
              </w:rPr>
              <w:t xml:space="preserve">ФИО:</w:t>
            </w:r>
          </w:p>
        </w:tc>
        <w:tc>
          <w:tcPr>
            <w:tcW w:w="6000" w:type="dxa"/>
            <w:vAlign w:val="center"/>
          </w:tcPr>
          <w:p>
            <w:pPr>
              <w:pStyle w:val=""/>
            </w:pPr>
            <w:r>
              <w:rPr>
                <w:rStyle w:val=""/>
              </w:rPr>
              <w:t xml:space="preserve">Ломакин Сергей Александрович</w:t>
            </w:r>
          </w:p>
        </w:tc>
      </w:tr>
      <w:tr>
        <w:trPr/>
        <w:tc>
          <w:tcPr>
            <w:tcW w:w="4000" w:type="dxa"/>
            <w:vAlign w:val="center"/>
          </w:tcPr>
          <w:p>
            <w:pPr>
              <w:pStyle w:val=""/>
            </w:pPr>
            <w:r>
              <w:rPr>
                <w:rStyle w:val=""/>
              </w:rPr>
              <w:t xml:space="preserve">ИНН:</w:t>
            </w:r>
          </w:p>
        </w:tc>
        <w:tc>
          <w:tcPr>
            <w:tcW w:w="6000" w:type="dxa"/>
            <w:vAlign w:val="center"/>
          </w:tcPr>
          <w:p>
            <w:pPr>
              <w:pStyle w:val=""/>
            </w:pPr>
            <w:r>
              <w:rPr>
                <w:rStyle w:val=""/>
              </w:rPr>
              <w:t xml:space="preserve">480402619547</w:t>
            </w:r>
          </w:p>
        </w:tc>
      </w:tr>
      <w:tr>
        <w:trPr/>
        <w:tc>
          <w:tcPr>
            <w:tcW w:w="4000" w:type="dxa"/>
            <w:vAlign w:val="center"/>
          </w:tcPr>
          <w:p>
            <w:pPr>
              <w:pStyle w:val=""/>
            </w:pPr>
            <w:r>
              <w:rPr>
                <w:rStyle w:val=""/>
              </w:rPr>
              <w:t xml:space="preserve">Адрес:</w:t>
            </w:r>
          </w:p>
        </w:tc>
        <w:tc>
          <w:tcPr>
            <w:tcW w:w="6000" w:type="dxa"/>
            <w:vAlign w:val="center"/>
          </w:tcPr>
          <w:p>
            <w:pPr>
              <w:pStyle w:val=""/>
            </w:pPr>
            <w:r>
              <w:rPr>
                <w:rStyle w:val=""/>
              </w:rPr>
              <w:t xml:space="preserve">399418, Липецкая обл., д. Софьино, ул. Лермонтова, д. 16, кв. 2</w:t>
            </w:r>
          </w:p>
        </w:tc>
      </w:tr>
      <w:tr>
        <w:trPr/>
        <w:tc>
          <w:tcPr>
            <w:tcW w:w="4000" w:type="dxa"/>
            <w:vAlign w:val="center"/>
          </w:tcPr>
          <w:p>
            <w:pPr>
              <w:pStyle w:val=""/>
            </w:pPr>
            <w:r>
              <w:rPr>
                <w:rStyle w:val=""/>
              </w:rPr>
              <w:t xml:space="preserve">Номер дела:</w:t>
            </w:r>
          </w:p>
        </w:tc>
        <w:tc>
          <w:tcPr>
            <w:tcW w:w="6000" w:type="dxa"/>
            <w:vAlign w:val="center"/>
          </w:tcPr>
          <w:p>
            <w:pPr>
              <w:pStyle w:val=""/>
            </w:pPr>
            <w:r>
              <w:rPr>
                <w:rStyle w:val=""/>
              </w:rPr>
              <w:t xml:space="preserve">А36-7981/2021</w:t>
            </w:r>
          </w:p>
        </w:tc>
      </w:tr>
      <w:tr>
        <w:trPr/>
        <w:tc>
          <w:tcPr>
            <w:tcW w:w="10000" w:type="dxa"/>
            <w:vAlign w:val="center"/>
            <w:gridSpan w:val="2"/>
          </w:tcPr>
          <w:p/>
        </w:tc>
      </w:tr>
      <w:tr>
        <w:trPr/>
        <w:tc>
          <w:tcPr>
            <w:tcW w:w="10000" w:type="dxa"/>
            <w:vAlign w:val="center"/>
            <w:gridSpan w:val="2"/>
          </w:tcPr>
          <w:p>
            <w:pPr>
              <w:pStyle w:val=""/>
            </w:pPr>
            <w:r>
              <w:rPr>
                <w:rStyle w:val="table_header"/>
              </w:rPr>
              <w:t xml:space="preserve">Информация о торгах и лоте</w:t>
            </w:r>
          </w:p>
        </w:tc>
      </w:tr>
      <w:tr>
        <w:trPr/>
        <w:tc>
          <w:tcPr>
            <w:tcW w:w="4000" w:type="dxa"/>
            <w:vAlign w:val="center"/>
          </w:tcPr>
          <w:p>
            <w:pPr>
              <w:pStyle w:val=""/>
            </w:pPr>
            <w:r>
              <w:rPr>
                <w:rStyle w:val=""/>
              </w:rPr>
              <w:t xml:space="preserve">Тип торгов:</w:t>
            </w:r>
          </w:p>
        </w:tc>
        <w:tc>
          <w:tcPr>
            <w:tcW w:w="6000" w:type="dxa"/>
            <w:vAlign w:val="center"/>
          </w:tcPr>
          <w:p>
            <w:pPr>
              <w:pStyle w:val=""/>
            </w:pPr>
            <w:r>
              <w:rPr>
                <w:rStyle w:val=""/>
              </w:rPr>
              <w:t xml:space="preserve">Аукцион с открытой формой представления цены</w:t>
            </w:r>
          </w:p>
        </w:tc>
      </w:tr>
      <w:tr>
        <w:trPr/>
        <w:tc>
          <w:tcPr>
            <w:tcW w:w="4000" w:type="dxa"/>
            <w:vAlign w:val="center"/>
          </w:tcPr>
          <w:p>
            <w:pPr>
              <w:pStyle w:val=""/>
            </w:pPr>
            <w:r>
              <w:rPr>
                <w:rStyle w:val=""/>
              </w:rPr>
              <w:t xml:space="preserve">Код торгов:</w:t>
            </w:r>
          </w:p>
        </w:tc>
        <w:tc>
          <w:tcPr>
            <w:tcW w:w="6000" w:type="dxa"/>
            <w:vAlign w:val="center"/>
          </w:tcPr>
          <w:p>
            <w:pPr>
              <w:pStyle w:val=""/>
            </w:pPr>
            <w:r>
              <w:rPr>
                <w:rStyle w:val=""/>
              </w:rPr>
              <w:t xml:space="preserve">50711-ОАОФ</w:t>
            </w:r>
          </w:p>
        </w:tc>
      </w:tr>
      <w:tr>
        <w:trPr/>
        <w:tc>
          <w:tcPr>
            <w:tcW w:w="4000" w:type="dxa"/>
            <w:vAlign w:val="center"/>
          </w:tcPr>
          <w:p>
            <w:pPr>
              <w:pStyle w:val=""/>
            </w:pPr>
            <w:r>
              <w:rPr>
                <w:rStyle w:val=""/>
              </w:rPr>
              <w:t xml:space="preserve">Дата начала приема заявок:</w:t>
            </w:r>
          </w:p>
        </w:tc>
        <w:tc>
          <w:tcPr>
            <w:tcW w:w="6000" w:type="dxa"/>
            <w:vAlign w:val="center"/>
          </w:tcPr>
          <w:p>
            <w:pPr>
              <w:pStyle w:val=""/>
            </w:pPr>
            <w:r>
              <w:rPr>
                <w:rStyle w:val=""/>
              </w:rPr>
              <w:t xml:space="preserve">28.04.2025 08:00:00</w:t>
            </w:r>
          </w:p>
        </w:tc>
      </w:tr>
      <w:tr>
        <w:trPr/>
        <w:tc>
          <w:tcPr>
            <w:tcW w:w="4000" w:type="dxa"/>
            <w:vAlign w:val="center"/>
          </w:tcPr>
          <w:p>
            <w:pPr>
              <w:pStyle w:val=""/>
            </w:pPr>
            <w:r>
              <w:rPr>
                <w:rStyle w:val=""/>
              </w:rPr>
              <w:t xml:space="preserve">Дата окончания приема заявок:</w:t>
            </w:r>
          </w:p>
        </w:tc>
        <w:tc>
          <w:tcPr>
            <w:tcW w:w="6000" w:type="dxa"/>
            <w:vAlign w:val="center"/>
          </w:tcPr>
          <w:p>
            <w:pPr>
              <w:pStyle w:val=""/>
            </w:pPr>
            <w:r>
              <w:rPr>
                <w:rStyle w:val=""/>
              </w:rPr>
              <w:t xml:space="preserve">16.06.2025 15:00:00</w:t>
            </w:r>
          </w:p>
        </w:tc>
      </w:tr>
      <w:tr>
        <w:trPr/>
        <w:tc>
          <w:tcPr>
            <w:tcW w:w="4000" w:type="dxa"/>
            <w:vAlign w:val="center"/>
          </w:tcPr>
          <w:p>
            <w:pPr>
              <w:pStyle w:val=""/>
            </w:pPr>
            <w:r>
              <w:rPr>
                <w:rStyle w:val=""/>
              </w:rPr>
              <w:t xml:space="preserve">Дата проведения:</w:t>
            </w:r>
          </w:p>
        </w:tc>
        <w:tc>
          <w:tcPr>
            <w:tcW w:w="6000" w:type="dxa"/>
            <w:vAlign w:val="center"/>
          </w:tcPr>
          <w:p>
            <w:pPr>
              <w:pStyle w:val=""/>
            </w:pPr>
            <w:r>
              <w:rPr>
                <w:rStyle w:val=""/>
              </w:rPr>
              <w:t xml:space="preserve">20.06.2025 11:00:00</w:t>
            </w:r>
          </w:p>
        </w:tc>
      </w:tr>
      <w:tr>
        <w:trPr/>
        <w:tc>
          <w:tcPr>
            <w:tcW w:w="4000" w:type="dxa"/>
            <w:vAlign w:val="center"/>
          </w:tcPr>
          <w:p>
            <w:pPr>
              <w:pStyle w:val=""/>
            </w:pPr>
            <w:r>
              <w:rPr>
                <w:rStyle w:val=""/>
              </w:rPr>
              <w:t xml:space="preserve">Номер лота:</w:t>
            </w:r>
          </w:p>
        </w:tc>
        <w:tc>
          <w:tcPr>
            <w:tcW w:w="6000" w:type="dxa"/>
            <w:vAlign w:val="center"/>
          </w:tcPr>
          <w:p>
            <w:pPr>
              <w:pStyle w:val=""/>
            </w:pPr>
            <w:r>
              <w:rPr>
                <w:rStyle w:val=""/>
              </w:rPr>
              <w:t xml:space="preserve">9</w:t>
            </w:r>
          </w:p>
        </w:tc>
      </w:tr>
      <w:tr>
        <w:trPr/>
        <w:tc>
          <w:tcPr>
            <w:tcW w:w="4000" w:type="dxa"/>
            <w:vAlign w:val="center"/>
          </w:tcPr>
          <w:p>
            <w:pPr>
              <w:pStyle w:val=""/>
            </w:pPr>
            <w:r>
              <w:rPr>
                <w:rStyle w:val=""/>
              </w:rPr>
              <w:t xml:space="preserve">Сведения об имуществе:</w:t>
            </w:r>
          </w:p>
        </w:tc>
        <w:tc>
          <w:tcPr>
            <w:tcW w:w="6000" w:type="dxa"/>
            <w:vAlign w:val="center"/>
          </w:tcPr>
          <w:p>
            <w:pPr>
              <w:pStyle w:val=""/>
            </w:pPr>
            <w:r>
              <w:rPr>
                <w:rStyle w:val=""/>
              </w:rPr>
              <w:t xml:space="preserve">Лот № 9: земельный участок 48:13:1550501:3491, кадастровый номер: 48:13:1550501:3491; площадь: 5000 кв. м.; Земли поселений: для ведения личного подсобного хозяйства; адрес: Российская Федерация, Липецкая область, Липецкий муниципальный район, сельское поселение Ленинский сельсовет, село Ленино; вид права: Собственность (индивидуальная); дата государственной регистрации: 05.11.2024; номер государственной регистрации: 48:13:1550501:3491-48/073/2024-5; основание государственной регистрации: Определение Арбитражного суда Липецкой области от 18.04.2024. Ограничения прав на земельный участок, предусмотренные статьей 56 Земельного кодекса.</w:t>
            </w:r>
          </w:p>
        </w:tc>
      </w:tr>
      <w:tr>
        <w:trPr/>
        <w:tc>
          <w:tcPr>
            <w:tcW w:w="4000" w:type="dxa"/>
            <w:vAlign w:val="center"/>
          </w:tcPr>
          <w:p>
            <w:pPr>
              <w:pStyle w:val=""/>
            </w:pPr>
            <w:r>
              <w:rPr>
                <w:rStyle w:val=""/>
              </w:rPr>
              <w:t xml:space="preserve">Стартовая цена продажи имущества:</w:t>
            </w:r>
          </w:p>
        </w:tc>
        <w:tc>
          <w:tcPr>
            <w:tcW w:w="6000" w:type="dxa"/>
            <w:vAlign w:val="center"/>
          </w:tcPr>
          <w:p>
            <w:pPr>
              <w:pStyle w:val=""/>
            </w:pPr>
            <w:r>
              <w:rPr>
                <w:rStyle w:val=""/>
              </w:rPr>
              <w:t xml:space="preserve">2 907 000.00</w:t>
            </w:r>
          </w:p>
        </w:tc>
      </w:tr>
      <w:tr>
        <w:trPr/>
        <w:tc>
          <w:tcPr>
            <w:tcW w:w="4000" w:type="dxa"/>
            <w:vAlign w:val="center"/>
          </w:tcPr>
          <w:p>
            <w:pPr>
              <w:pStyle w:val=""/>
            </w:pPr>
            <w:r>
              <w:rPr>
                <w:rStyle w:val=""/>
              </w:rPr>
              <w:t xml:space="preserve">Порядок и критерии определения победителя торгов:</w:t>
            </w:r>
          </w:p>
        </w:tc>
        <w:tc>
          <w:tcPr>
            <w:tcW w:w="6000" w:type="dxa"/>
            <w:vAlign w:val="center"/>
          </w:tcPr>
          <w:p>
            <w:pPr>
              <w:pStyle w:val=""/>
            </w:pPr>
            <w:r>
              <w:rPr>
                <w:rStyle w:val=""/>
              </w:rPr>
              <w:t xml:space="preserve">ДОПОЛНИТЕЛЬНЫЕ ДОКУМЕНТЫ И СВЕДЕНИЯ ОБ ИМУЩЕСТВЕ В ТОРГОВОЙ ПРОЦЕДУРЕ № 48983-ОАОФ.
Организатор торгов - конкурсный управляющий ИП главы КФХ Ломакина Сергея Александровича – Попов Александр Владимирович (Решением Арбитражного суда Липецкой области от 28.10.2022 г. по делу № А36-7981/2021 ИП глава КФХ Ломакин Сергей Александрович (ОГРН 319482700012461, ИНН 480402619547, адрес: 399418, Липецкая обл., д. Софьино, ул. Лермонтова, д. 16, кв. 2) признан несостоятельным (банкротом), открыто конкурсное производство. Определением Арбитражного суда Липецкой области от 28.12.2022 г. (Дата публикации: 29.12.2022 г. 12:31:22 МСК) по делу № А36-7981/2021 конкурсным управляющим утвержден Попов Александр Владимирович (ИНН 230100466128, СНИЛС 109-144-670 45), член Саморегулируемая межрегиональная общественная организация «Ассоциация Антикризисных Управляющих» (ИНН 6315944042, ОГРН 1026300003751, адрес: 443072, г.Самара, Московское ш., 18 км, литер А, корпус 8). Адрес для корреспонденции: 398037, г. Липецк, Боевой проезд, соор. 40, 2 этаж, телефон 89191603996, e-mail: 398501@mail.ru. Решением Арбитражного суда Липецкой области от 26.12.2023 г. по делу № А36-5401/2023 (Дата публикации: 27.12.2023 г. 14:05:05 МСК) Ломакин Сергей Александрович (06.12.1983 г.р., место рождения: с. Дубовое Добринского района Липецкой области, адрес регистрации: с. Дубовое Добринского района Липецкой области, ул. Лермонтова, д.16, кв.2) признан несостоятельным (банкротом), открыта процедура реализации имущества. Объединено для совместного рассмотрения дело №А36-5401/2023 с делом №А36-7981/2021 о признании несостоятельным банкротом индивидуального предпринимателя главу крестьянского (фермерского) хозяйства Ломакина Сергея Александровича, присвоен делу №А36-7981/2021. Следующее заседание в Арбитражном суде Липецкой области по результатам процедуры конкурсное производство 17.09.2025, 17:00) сообщает: 1. О проведении повторных открытых торгов в форме аукциона с открытой формой предложения на сайте электронной площадки АО «Новые информационные сервисы» по продаже имущества и имущественных прав.
Заявки принимаются на сайте в сети Интернет по адресу: http://www.nistp.ru начиная с 08 час. 00 мин. 28.04.2025 г. до 15 час. 00 мин. 16.06.2025 г., посредством системы электронного документооборота на сайте: http://www.nistp.ru. Все документы заверяются ЭЦП заявителя. Шаг аукциона 5%.
Дата и время проведения аукциона: 20.06.2025 г. в 11 часов 00 минут.
Задаток составляет 10% от начальной цены лота. Сумма задатка перечисляется на счет Ломакина Сергея Александровича (ИНН 480402619547) № 40817810550168746085 в Филиале «Центральный» ПАО «Совкомбанк» БИК 045004763, к/сч 30101810150040000763 - в течение срока приема заявок. 
К участию в торгах допускаются претенденты, своевременно подавшие заявку на участие в торгах, своевременно внесшие задаток и представившие документы, подтверждающие соответствие претендента требованиям Положения о торгах и Закона о банкротстве: заявка на участие в торгах составляется в произвольной форме на русском языке и должна содержать указанные в сообщении о проведении торгов следующие сведения: наименование, организационно-правовая форма, место нахождения, почтовый адрес заявителя (для юридического лица); фамилия, имя, отчество, паспортные данные, сведения о месте жительства заявителя (для физического лица); номер контактного телефона, адрес электронной почты заявителя. Заявка на участие в торгах должна содержать также сведения о наличии или об отсутствии заинтересованности заявителя по отношению к должнику, кредиторам, внешнему управляющему и о характере этой заинтересованности, сведения об участии в капитале заявителя внешнего управляющего, а также саморегулируемой организации арбитражных управляющих, членом или руководителем которой является внешний управляющий. В случае проведения торгов по продаже предприятия с использованием закрытой формы представления предложений о цене предприятия заявка на участие в торгах может содержать предложение о цене предприятия, не подлежащее разглашению до начала проведения торгов. К заявке на участие в торгах (кроме случаев проведения торгов в электронной форме) должны прилагаться копии следующих документов: выписка из единого государственного реестра юридических лиц (для юридического лица), выписка из единого государственного реестра индивидуальных предпринимателей (для индивидуального предпринимателя), документы, удостоверяющие личность (для физического лица),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документ, подтверждающий полномочия лица на осуществление действий от имени заявителя; обязательство заявителя исполнять условия конкурса.
Заявка на участие в торгах должна содержать также сведения о наличии или об отсутствии заинтересованности заявителя по отношению к должнику, кредиторам, конкурсному управляющему и о характере этой заинтересованности, сведения об участии в капитале заявителя конкурсного управляющего, а также сведения о заявителе, саморегулируемой организации арбитражных управляющих, членом или руководителем которой является конкурсный управляющий.
Победителем аукциона признается участник, чье предложение содержит наиболее высокую цену за лот. Результаты оформляются протоколом о результатах проведения торгов в день торгов. Продажа оформляется договором купли-продажи. В течение двух рабочих дней с даты подписания протокола о результатах проведения торгов организатор торгов направляет победителю торгов копию протокола. 
В течение 5 дней с даты подписания этого протокола конкурсный управляющий направляет победителю предложение заключить договор купли-продажи. В случае отказа или уклонения победителя торгов от подписания данного договора в течение пяти дней с даты получения указанного предложения конкурсного управляющего внесенный задаток ему не возвращается и конкурсный  управляющий вправе предложить заключить договор купли-продажи лота участнику торгов, которым предложена наиболее высокая цена лота по сравнению с ценой лота, предложенной другими участниками торгов, за исключением победителя торгов.</w:t>
            </w:r>
          </w:p>
        </w:tc>
      </w:tr>
      <w:tr>
        <w:trPr/>
        <w:tc>
          <w:tcPr>
            <w:tcW w:w="10000" w:type="dxa"/>
            <w:vAlign w:val="center"/>
            <w:gridSpan w:val="2"/>
          </w:tcPr>
          <w:p/>
        </w:tc>
      </w:tr>
      <w:tr>
        <w:trPr/>
        <w:tc>
          <w:tcPr>
            <w:tcW w:w="10000" w:type="dxa"/>
            <w:vAlign w:val="center"/>
            <w:gridSpan w:val="2"/>
          </w:tcPr>
          <w:p>
            <w:pPr>
              <w:pStyle w:val=""/>
            </w:pPr>
            <w:r>
              <w:rPr>
                <w:rStyle w:val="table_header"/>
              </w:rPr>
              <w:t xml:space="preserve">Перечень допущенных участников</w:t>
            </w:r>
          </w:p>
        </w:tc>
      </w:tr>
      <w:tr>
        <w:trPr/>
        <w:tc>
          <w:tcPr>
            <w:tcW w:w="10000" w:type="dxa"/>
            <w:vAlign w:val="center"/>
            <w:gridSpan w:val="2"/>
          </w:tcPr>
          <w:p>
            <w:pPr>
              <w:pStyle w:val=""/>
            </w:pPr>
            <w:r>
              <w:rPr>
                <w:rStyle w:val=""/>
              </w:rPr>
              <w:t xml:space="preserve">Допущенные заявки отсутствуют</w:t>
            </w:r>
          </w:p>
        </w:tc>
      </w:tr>
      <w:tr>
        <w:trPr/>
        <w:tc>
          <w:tcPr>
            <w:tcW w:w="10000" w:type="dxa"/>
            <w:vAlign w:val="center"/>
            <w:gridSpan w:val="2"/>
          </w:tcPr>
          <w:p/>
        </w:tc>
      </w:tr>
      <w:tr>
        <w:trPr/>
        <w:tc>
          <w:tcPr>
            <w:tcW w:w="10000" w:type="dxa"/>
            <w:vAlign w:val="center"/>
            <w:gridSpan w:val="2"/>
          </w:tcPr>
          <w:p>
            <w:pPr>
              <w:pStyle w:val=""/>
            </w:pPr>
            <w:r>
              <w:rPr>
                <w:rStyle w:val="table_header"/>
              </w:rPr>
              <w:t xml:space="preserve">Ценовые предложения, поданные в ходе торгов</w:t>
            </w:r>
          </w:p>
        </w:tc>
      </w:tr>
      <w:tr>
        <w:trPr/>
        <w:tc>
          <w:tcPr>
            <w:tcW w:w="10000" w:type="dxa"/>
            <w:vAlign w:val="center"/>
            <w:gridSpan w:val="2"/>
          </w:tcPr>
          <w:p>
            <w:pPr>
              <w:pStyle w:val=""/>
            </w:pPr>
            <w:r>
              <w:rPr>
                <w:rStyle w:val=""/>
              </w:rPr>
              <w:t xml:space="preserve">Ценовых предложений на этот лот не подано</w:t>
            </w:r>
          </w:p>
        </w:tc>
      </w:tr>
      <w:tr>
        <w:trPr/>
        <w:tc>
          <w:tcPr>
            <w:tcW w:w="10000" w:type="dxa"/>
            <w:vAlign w:val="center"/>
            <w:gridSpan w:val="2"/>
          </w:tcPr>
          <w:p/>
        </w:tc>
      </w:tr>
      <w:tr>
        <w:trPr/>
        <w:tc>
          <w:tcPr>
            <w:tcW w:w="10000" w:type="dxa"/>
            <w:vAlign w:val="center"/>
            <w:gridSpan w:val="2"/>
          </w:tcPr>
          <w:p>
            <w:pPr>
              <w:pStyle w:val=""/>
            </w:pPr>
            <w:r>
              <w:rPr>
                <w:rStyle w:val="table_header"/>
              </w:rPr>
              <w:t xml:space="preserve">Результаты торгов</w:t>
            </w:r>
          </w:p>
        </w:tc>
      </w:tr>
      <w:tr>
        <w:trPr/>
        <w:tc>
          <w:tcPr>
            <w:tcW w:w="10000" w:type="dxa"/>
            <w:vAlign w:val="center"/>
            <w:gridSpan w:val="2"/>
          </w:tcPr>
          <w:p>
            <w:pPr>
              <w:pStyle w:val=""/>
            </w:pPr>
            <w:r>
              <w:rPr>
                <w:rStyle w:val=""/>
              </w:rPr>
              <w:t xml:space="preserve">В связи с тем, что не было представлено ни одной заявки на участие в торгах, организатором торгов принято решение о признании торгов несостоявшимися.</w:t>
            </w:r>
          </w:p>
        </w:tc>
      </w:tr>
      <w:tr>
        <w:trPr/>
        <w:tc>
          <w:tcPr>
            <w:tcW w:w="10000" w:type="dxa"/>
            <w:vAlign w:val="center"/>
            <w:gridSpan w:val="2"/>
          </w:tcPr>
          <w:p/>
        </w:tc>
      </w:tr>
    </w:tbl>
    <w:p>
      <w:pPr>
        <w:pStyle w:val=""/>
      </w:pPr>
      <w:r>
        <w:rPr>
          <w:rStyle w:val=""/>
        </w:rPr>
        <w:t xml:space="preserve"/>
      </w:r>
    </w:p>
    <w:p/>
    <w:p/>
    <w:p>
      <w:pPr>
        <w:pStyle w:val=""/>
      </w:pPr>
      <w:r>
        <w:rPr>
          <w:rStyle w:val=""/>
        </w:rPr>
        <w:t xml:space="preserve">Протокол подписан организатором торгов</w:t>
      </w:r>
    </w:p>
    <w:sectPr>
      <w:pgSz w:orient="portrait" w:w="11870" w:h="16787"/>
      <w:pgMar w:top="850" w:right="850" w:bottom="1440" w:left="8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Times New Roman" w:cs="Times New Roman"/>
        <w:sz w:val="26"/>
        <w:szCs w:val="26"/>
      </w:rPr>
    </w:rPrDefault>
  </w:docDefaults>
  <w:style w:type="paragraph" w:default="1" w:styleId="Normal">
    <w:name w:val="Normal"/>
    <w:pPr>
      <w:jc w:val="left"/>
      <w:ind w:left="0" w:right="0"/>
      <w:spacing w:after="0"/>
    </w:pPr>
  </w:style>
  <w:style w:type="character" w:styleId="FootnoteReference">
    <w:name w:val="Footnote Reference"/>
    <w:semiHidden/>
    <w:unhideWhenUsed/>
    <w:rPr>
      <w:vertAlign w:val="superscript"/>
    </w:rPr>
  </w:style>
  <w:style w:type="paragraph" w:customStyle="1" w:styleId="center">
    <w:name w:val="center"/>
    <w:basedOn w:val="Normal"/>
    <w:pPr>
      <w:jc w:val="center"/>
      <w:spacing w:after="0"/>
    </w:pPr>
  </w:style>
  <w:style w:type="character">
    <w:name w:val="doc_header"/>
    <w:rPr>
      <w:sz w:val="24"/>
      <w:szCs w:val="24"/>
      <w:b/>
      <w:caps/>
    </w:rPr>
  </w:style>
  <w:style w:type="character">
    <w:name w:val="bold"/>
    <w:rPr>
      <w:b/>
    </w:rPr>
  </w:style>
  <w:style w:type="character">
    <w:name w:val="table_header"/>
    <w:rPr>
      <w:color w:val="BE1E2D"/>
    </w:rPr>
  </w:style>
  <w:style w:type="table" w:customStyle="1" w:styleId="noborder">
    <w:name w:val="noborder"/>
    <w:uiPriority w:val="99"/>
    <w:tblPr>
      <w:jc w:val="left"/>
      <w:tblW w:w="100" w:type="auto"/>
      <w:tblCellMar>
        <w:top w:w="10" w:type="dxa"/>
        <w:left w:w="10" w:type="dxa"/>
        <w:right w:w="10" w:type="dxa"/>
        <w:bottom w:w="10" w:type="dxa"/>
      </w:tblCellMar>
    </w:tblPr>
  </w:style>
  <w:style w:type="table" w:customStyle="1" w:styleId="border">
    <w:name w:val="border"/>
    <w:uiPriority w:val="99"/>
    <w:tblPr>
      <w:jc w:val="left"/>
      <w:tblW w:w="100" w:type="auto"/>
      <w:tblCellMar>
        <w:top w:w="50" w:type="dxa"/>
        <w:left w:w="50" w:type="dxa"/>
        <w:right w:w="50" w:type="dxa"/>
        <w:bottom w:w="50"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2025-06-17T01:40:40+03:00</dcterms:created>
  <dcterms:modified xsi:type="dcterms:W3CDTF">2025-06-17T01:40:40+03:00</dcterms:modified>
</cp:coreProperties>
</file>

<file path=docProps/custom.xml><?xml version="1.0" encoding="utf-8"?>
<Properties xmlns="http://schemas.openxmlformats.org/officeDocument/2006/custom-properties" xmlns:vt="http://schemas.openxmlformats.org/officeDocument/2006/docPropsVTypes"/>
</file>