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47402-ОАОФ/1</w:t>
      </w:r>
    </w:p>
    <w:p/>
    <w:p>
      <w:pPr>
        <w:pStyle w:val=""/>
      </w:pPr>
      <w:r>
        <w:rPr>
          <w:rStyle w:val=""/>
        </w:rPr>
        <w:t xml:space="preserve">21.01.2025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Чертов Роман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032615645119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г.Улан-Удэ, ул. Микояна, д.5, кв.27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А10-4669/2022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03:06:530108:123, площадью 602 кв.м., адрес: Бурятия респ, р-н Заиграевский, СНТ Автодорожник, уч. 421, вид разрешенного использования объекта недвижимости: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2025-01-21T20:03:07+03:00</dcterms:created>
  <dcterms:modified xsi:type="dcterms:W3CDTF">2025-01-21T20:03:07+03:00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