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center"/>
      </w:pPr>
      <w:r>
        <w:rPr>
          <w:rStyle w:val="doc_header"/>
        </w:rPr>
        <w:t xml:space="preserve">РЕШЕНИЕ № 46458-ОАОФ/1 О ПРИЗНАНИИ НЕСОСТОЯВШИМИСЯ ОТКРЫТЫХ ТОРГОВ В ФОРМЕ АУКЦИОНА ПО ПРОДАЖЕ ИМУЩЕСТВА</w:t>
      </w:r>
    </w:p>
    <w:p/>
    <w:p>
      <w:pPr>
        <w:pStyle w:val=""/>
      </w:pPr>
      <w:r>
        <w:rPr>
          <w:rStyle w:val=""/>
        </w:rPr>
        <w:t xml:space="preserve">29.11.2024 г.</w:t>
      </w:r>
    </w:p>
    <w:p/>
    <w:tbl>
      <w:tblGrid>
        <w:gridCol w:w="4000" w:type="dxa"/>
        <w:gridCol w:w="6000" w:type="dxa"/>
      </w:tblGrid>
      <w:tblPr>
        <w:tblStyle w:val="noborder"/>
      </w:tblPr>
      <w:tr>
        <w:trPr/>
        <w:tc>
          <w:tcPr>
            <w:tcW w:w="10000" w:type="dxa"/>
            <w:vAlign w:val="center"/>
            <w:gridSpan w:val="2"/>
          </w:tcPr>
          <w:p>
            <w:pPr>
              <w:pStyle w:val=""/>
            </w:pPr>
            <w:r>
              <w:rPr>
                <w:rStyle w:val="table_header"/>
              </w:rPr>
              <w:t xml:space="preserve">Организатор торгов</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Зворыкина Яна Юрьевна</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290222616611</w:t>
            </w:r>
          </w:p>
        </w:tc>
      </w:tr>
      <w:tr>
        <w:trPr/>
        <w:tc>
          <w:tcPr>
            <w:tcW w:w="4000" w:type="dxa"/>
            <w:vAlign w:val="center"/>
          </w:tcPr>
          <w:p>
            <w:pPr>
              <w:pStyle w:val=""/>
            </w:pPr>
            <w:r>
              <w:rPr>
                <w:rStyle w:val=""/>
              </w:rPr>
              <w:t xml:space="preserve">Телефон/факс:</w:t>
            </w:r>
          </w:p>
        </w:tc>
        <w:tc>
          <w:tcPr>
            <w:tcW w:w="6000" w:type="dxa"/>
            <w:vAlign w:val="center"/>
          </w:tcPr>
          <w:p>
            <w:pPr>
              <w:pStyle w:val=""/>
            </w:pPr>
            <w:r>
              <w:rPr>
                <w:rStyle w:val=""/>
              </w:rPr>
              <w:t xml:space="preserve">89165634604</w:t>
            </w:r>
          </w:p>
        </w:tc>
      </w:tr>
      <w:tr>
        <w:trPr/>
        <w:tc>
          <w:tcPr>
            <w:tcW w:w="10000" w:type="dxa"/>
            <w:vAlign w:val="center"/>
            <w:gridSpan w:val="2"/>
          </w:tcPr>
          <w:p/>
        </w:tc>
      </w:tr>
      <w:tr>
        <w:trPr/>
        <w:tc>
          <w:tcPr>
            <w:tcW w:w="10000" w:type="dxa"/>
            <w:vAlign w:val="center"/>
            <w:gridSpan w:val="2"/>
          </w:tcPr>
          <w:p>
            <w:pPr>
              <w:pStyle w:val=""/>
            </w:pPr>
            <w:r>
              <w:rPr>
                <w:rStyle w:val="table_header"/>
              </w:rPr>
              <w:t xml:space="preserve">Сведения о должнике</w:t>
            </w:r>
          </w:p>
        </w:tc>
      </w:tr>
      <w:tr>
        <w:trPr/>
        <w:tc>
          <w:tcPr>
            <w:tcW w:w="4000" w:type="dxa"/>
            <w:vAlign w:val="center"/>
          </w:tcPr>
          <w:p>
            <w:pPr>
              <w:pStyle w:val=""/>
            </w:pPr>
            <w:r>
              <w:rPr>
                <w:rStyle w:val=""/>
              </w:rPr>
              <w:t xml:space="preserve">ФИО:</w:t>
            </w:r>
          </w:p>
        </w:tc>
        <w:tc>
          <w:tcPr>
            <w:tcW w:w="6000" w:type="dxa"/>
            <w:vAlign w:val="center"/>
          </w:tcPr>
          <w:p>
            <w:pPr>
              <w:pStyle w:val=""/>
            </w:pPr>
            <w:r>
              <w:rPr>
                <w:rStyle w:val=""/>
              </w:rPr>
              <w:t xml:space="preserve">Воронцов Алексей Иванович</w:t>
            </w:r>
          </w:p>
        </w:tc>
      </w:tr>
      <w:tr>
        <w:trPr/>
        <w:tc>
          <w:tcPr>
            <w:tcW w:w="4000" w:type="dxa"/>
            <w:vAlign w:val="center"/>
          </w:tcPr>
          <w:p>
            <w:pPr>
              <w:pStyle w:val=""/>
            </w:pPr>
            <w:r>
              <w:rPr>
                <w:rStyle w:val=""/>
              </w:rPr>
              <w:t xml:space="preserve">ИНН:</w:t>
            </w:r>
          </w:p>
        </w:tc>
        <w:tc>
          <w:tcPr>
            <w:tcW w:w="6000" w:type="dxa"/>
            <w:vAlign w:val="center"/>
          </w:tcPr>
          <w:p>
            <w:pPr>
              <w:pStyle w:val=""/>
            </w:pPr>
            <w:r>
              <w:rPr>
                <w:rStyle w:val=""/>
              </w:rPr>
              <w:t xml:space="preserve">290402008620</w:t>
            </w:r>
          </w:p>
        </w:tc>
      </w:tr>
      <w:tr>
        <w:trPr/>
        <w:tc>
          <w:tcPr>
            <w:tcW w:w="4000" w:type="dxa"/>
            <w:vAlign w:val="center"/>
          </w:tcPr>
          <w:p>
            <w:pPr>
              <w:pStyle w:val=""/>
            </w:pPr>
            <w:r>
              <w:rPr>
                <w:rStyle w:val=""/>
              </w:rPr>
              <w:t xml:space="preserve">Адрес:</w:t>
            </w:r>
          </w:p>
        </w:tc>
        <w:tc>
          <w:tcPr>
            <w:tcW w:w="6000" w:type="dxa"/>
            <w:vAlign w:val="center"/>
          </w:tcPr>
          <w:p>
            <w:pPr>
              <w:pStyle w:val=""/>
            </w:pPr>
            <w:r>
              <w:rPr>
                <w:rStyle w:val=""/>
              </w:rPr>
              <w:t xml:space="preserve">165313, ул. Невелькой дивизии, д. 8, кв. 21, г. Котлас, Архангельская область</w:t>
            </w:r>
          </w:p>
        </w:tc>
      </w:tr>
      <w:tr>
        <w:trPr/>
        <w:tc>
          <w:tcPr>
            <w:tcW w:w="4000" w:type="dxa"/>
            <w:vAlign w:val="center"/>
          </w:tcPr>
          <w:p>
            <w:pPr>
              <w:pStyle w:val=""/>
            </w:pPr>
            <w:r>
              <w:rPr>
                <w:rStyle w:val=""/>
              </w:rPr>
              <w:t xml:space="preserve">Номер дела:</w:t>
            </w:r>
          </w:p>
        </w:tc>
        <w:tc>
          <w:tcPr>
            <w:tcW w:w="6000" w:type="dxa"/>
            <w:vAlign w:val="center"/>
          </w:tcPr>
          <w:p>
            <w:pPr>
              <w:pStyle w:val=""/>
            </w:pPr>
            <w:r>
              <w:rPr>
                <w:rStyle w:val=""/>
              </w:rPr>
              <w:t xml:space="preserve">А05-15449/2023</w:t>
            </w:r>
          </w:p>
        </w:tc>
      </w:tr>
      <w:tr>
        <w:trPr/>
        <w:tc>
          <w:tcPr>
            <w:tcW w:w="10000" w:type="dxa"/>
            <w:vAlign w:val="center"/>
            <w:gridSpan w:val="2"/>
          </w:tcPr>
          <w:p/>
        </w:tc>
      </w:tr>
      <w:tr>
        <w:trPr/>
        <w:tc>
          <w:tcPr>
            <w:tcW w:w="10000" w:type="dxa"/>
            <w:vAlign w:val="center"/>
            <w:gridSpan w:val="2"/>
          </w:tcPr>
          <w:p>
            <w:pPr>
              <w:pStyle w:val=""/>
            </w:pPr>
            <w:r>
              <w:rPr>
                <w:rStyle w:val="table_header"/>
              </w:rPr>
              <w:t xml:space="preserve">Информация о торгах и лоте</w:t>
            </w:r>
          </w:p>
        </w:tc>
      </w:tr>
      <w:tr>
        <w:trPr/>
        <w:tc>
          <w:tcPr>
            <w:tcW w:w="4000" w:type="dxa"/>
            <w:vAlign w:val="center"/>
          </w:tcPr>
          <w:p>
            <w:pPr>
              <w:pStyle w:val=""/>
            </w:pPr>
            <w:r>
              <w:rPr>
                <w:rStyle w:val=""/>
              </w:rPr>
              <w:t xml:space="preserve">Тип торгов:</w:t>
            </w:r>
          </w:p>
        </w:tc>
        <w:tc>
          <w:tcPr>
            <w:tcW w:w="6000" w:type="dxa"/>
            <w:vAlign w:val="center"/>
          </w:tcPr>
          <w:p>
            <w:pPr>
              <w:pStyle w:val=""/>
            </w:pPr>
            <w:r>
              <w:rPr>
                <w:rStyle w:val=""/>
              </w:rPr>
              <w:t xml:space="preserve">Аукцион с открытой формой представления цены</w:t>
            </w:r>
          </w:p>
        </w:tc>
      </w:tr>
      <w:tr>
        <w:trPr/>
        <w:tc>
          <w:tcPr>
            <w:tcW w:w="4000" w:type="dxa"/>
            <w:vAlign w:val="center"/>
          </w:tcPr>
          <w:p>
            <w:pPr>
              <w:pStyle w:val=""/>
            </w:pPr>
            <w:r>
              <w:rPr>
                <w:rStyle w:val=""/>
              </w:rPr>
              <w:t xml:space="preserve">Код торгов:</w:t>
            </w:r>
          </w:p>
        </w:tc>
        <w:tc>
          <w:tcPr>
            <w:tcW w:w="6000" w:type="dxa"/>
            <w:vAlign w:val="center"/>
          </w:tcPr>
          <w:p>
            <w:pPr>
              <w:pStyle w:val=""/>
            </w:pPr>
            <w:r>
              <w:rPr>
                <w:rStyle w:val=""/>
              </w:rPr>
              <w:t xml:space="preserve">46458-ОАОФ</w:t>
            </w:r>
          </w:p>
        </w:tc>
      </w:tr>
      <w:tr>
        <w:trPr/>
        <w:tc>
          <w:tcPr>
            <w:tcW w:w="4000" w:type="dxa"/>
            <w:vAlign w:val="center"/>
          </w:tcPr>
          <w:p>
            <w:pPr>
              <w:pStyle w:val=""/>
            </w:pPr>
            <w:r>
              <w:rPr>
                <w:rStyle w:val=""/>
              </w:rPr>
              <w:t xml:space="preserve">Дата начала приема заявок:</w:t>
            </w:r>
          </w:p>
        </w:tc>
        <w:tc>
          <w:tcPr>
            <w:tcW w:w="6000" w:type="dxa"/>
            <w:vAlign w:val="center"/>
          </w:tcPr>
          <w:p>
            <w:pPr>
              <w:pStyle w:val=""/>
            </w:pPr>
            <w:r>
              <w:rPr>
                <w:rStyle w:val=""/>
              </w:rPr>
              <w:t xml:space="preserve">22.10.2024 09:00:00</w:t>
            </w:r>
          </w:p>
        </w:tc>
      </w:tr>
      <w:tr>
        <w:trPr/>
        <w:tc>
          <w:tcPr>
            <w:tcW w:w="4000" w:type="dxa"/>
            <w:vAlign w:val="center"/>
          </w:tcPr>
          <w:p>
            <w:pPr>
              <w:pStyle w:val=""/>
            </w:pPr>
            <w:r>
              <w:rPr>
                <w:rStyle w:val=""/>
              </w:rPr>
              <w:t xml:space="preserve">Дата окончания приема заявок:</w:t>
            </w:r>
          </w:p>
        </w:tc>
        <w:tc>
          <w:tcPr>
            <w:tcW w:w="6000" w:type="dxa"/>
            <w:vAlign w:val="center"/>
          </w:tcPr>
          <w:p>
            <w:pPr>
              <w:pStyle w:val=""/>
            </w:pPr>
            <w:r>
              <w:rPr>
                <w:rStyle w:val=""/>
              </w:rPr>
              <w:t xml:space="preserve">29.11.2024 09:00:00</w:t>
            </w:r>
          </w:p>
        </w:tc>
      </w:tr>
      <w:tr>
        <w:trPr/>
        <w:tc>
          <w:tcPr>
            <w:tcW w:w="4000" w:type="dxa"/>
            <w:vAlign w:val="center"/>
          </w:tcPr>
          <w:p>
            <w:pPr>
              <w:pStyle w:val=""/>
            </w:pPr>
            <w:r>
              <w:rPr>
                <w:rStyle w:val=""/>
              </w:rPr>
              <w:t xml:space="preserve">Дата проведения:</w:t>
            </w:r>
          </w:p>
        </w:tc>
        <w:tc>
          <w:tcPr>
            <w:tcW w:w="6000" w:type="dxa"/>
            <w:vAlign w:val="center"/>
          </w:tcPr>
          <w:p>
            <w:pPr>
              <w:pStyle w:val=""/>
            </w:pPr>
            <w:r>
              <w:rPr>
                <w:rStyle w:val=""/>
              </w:rPr>
              <w:t xml:space="preserve">29.11.2024 12:00:00</w:t>
            </w:r>
          </w:p>
        </w:tc>
      </w:tr>
      <w:tr>
        <w:trPr/>
        <w:tc>
          <w:tcPr>
            <w:tcW w:w="4000" w:type="dxa"/>
            <w:vAlign w:val="center"/>
          </w:tcPr>
          <w:p>
            <w:pPr>
              <w:pStyle w:val=""/>
            </w:pPr>
            <w:r>
              <w:rPr>
                <w:rStyle w:val=""/>
              </w:rPr>
              <w:t xml:space="preserve">Номер лота:</w:t>
            </w:r>
          </w:p>
        </w:tc>
        <w:tc>
          <w:tcPr>
            <w:tcW w:w="6000" w:type="dxa"/>
            <w:vAlign w:val="center"/>
          </w:tcPr>
          <w:p>
            <w:pPr>
              <w:pStyle w:val=""/>
            </w:pPr>
            <w:r>
              <w:rPr>
                <w:rStyle w:val=""/>
              </w:rPr>
              <w:t xml:space="preserve">1</w:t>
            </w:r>
          </w:p>
        </w:tc>
      </w:tr>
      <w:tr>
        <w:trPr/>
        <w:tc>
          <w:tcPr>
            <w:tcW w:w="4000" w:type="dxa"/>
            <w:vAlign w:val="center"/>
          </w:tcPr>
          <w:p>
            <w:pPr>
              <w:pStyle w:val=""/>
            </w:pPr>
            <w:r>
              <w:rPr>
                <w:rStyle w:val=""/>
              </w:rPr>
              <w:t xml:space="preserve">Сведения об имуществе:</w:t>
            </w:r>
          </w:p>
        </w:tc>
        <w:tc>
          <w:tcPr>
            <w:tcW w:w="6000" w:type="dxa"/>
            <w:vAlign w:val="center"/>
          </w:tcPr>
          <w:p>
            <w:pPr>
              <w:pStyle w:val=""/>
            </w:pPr>
            <w:r>
              <w:rPr>
                <w:rStyle w:val=""/>
              </w:rPr>
              <w:t xml:space="preserve">Земельный участок общей площадью 16 кв. м. по адресу: Архангельская обл., м. о. Вилегодский, д. Горбачиха, д. 10 с кадастровым номером 29:03:041101:64</w:t>
            </w:r>
          </w:p>
        </w:tc>
      </w:tr>
      <w:tr>
        <w:trPr/>
        <w:tc>
          <w:tcPr>
            <w:tcW w:w="4000" w:type="dxa"/>
            <w:vAlign w:val="center"/>
          </w:tcPr>
          <w:p>
            <w:pPr>
              <w:pStyle w:val=""/>
            </w:pPr>
            <w:r>
              <w:rPr>
                <w:rStyle w:val=""/>
              </w:rPr>
              <w:t xml:space="preserve">Стартовая цена продажи имущества:</w:t>
            </w:r>
          </w:p>
        </w:tc>
        <w:tc>
          <w:tcPr>
            <w:tcW w:w="6000" w:type="dxa"/>
            <w:vAlign w:val="center"/>
          </w:tcPr>
          <w:p>
            <w:pPr>
              <w:pStyle w:val=""/>
            </w:pPr>
            <w:r>
              <w:rPr>
                <w:rStyle w:val=""/>
              </w:rPr>
              <w:t xml:space="preserve">10 000.00</w:t>
            </w:r>
          </w:p>
        </w:tc>
      </w:tr>
      <w:tr>
        <w:trPr/>
        <w:tc>
          <w:tcPr>
            <w:tcW w:w="4000" w:type="dxa"/>
            <w:vAlign w:val="center"/>
          </w:tcPr>
          <w:p>
            <w:pPr>
              <w:pStyle w:val=""/>
            </w:pPr>
            <w:r>
              <w:rPr>
                <w:rStyle w:val=""/>
              </w:rPr>
              <w:t xml:space="preserve">Порядок и критерии определения победителя торгов:</w:t>
            </w:r>
          </w:p>
        </w:tc>
        <w:tc>
          <w:tcPr>
            <w:tcW w:w="6000" w:type="dxa"/>
            <w:vAlign w:val="center"/>
          </w:tcPr>
          <w:p>
            <w:pPr>
              <w:pStyle w:val=""/>
            </w:pPr>
            <w:r>
              <w:rPr>
                <w:rStyle w:val=""/>
              </w:rPr>
              <w:t xml:space="preserve">Победителем открытых торгов признается участник торгов, предложивший максимальную цену В открытых торгах могут принимать участие только лица, признанные участниками торгов. Открытые торги проводятся на электронной площадке в день и время, указанные в сообщении о проведении открытых торгов. Предложения о цене заявляются на электронной площадке участниками торгов открыто в ходе проведения торгов. Аукцион проводится путем повышения начальной цены продажи на величину, кратную величине «шага аукциона». Победителем открытых торгов признается участник торгов, предложивший наиболее высокую цену. По результатам проведения открытых торгов оператор электронной площадки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 и направляет его в форме электронного документа организатору торгов для утверждения.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 В случае, если не были представлены заявки на участие в торгах или к участию в торгах был допущен только один участник, организатор торгов принимает решение о признании торгов несостоявшимися. В случае, если открытые торги признаны несостоявшимися организатор торгов в течение двух дней после завершения срока, установленного Федеральным законом «О несостоятельности (банкротстве)» для принятия решений о признании торгов несостоявшимися, составляет и передает оператору электронной площадки протокол о признании открытых торгов несостоявшимися с указанием основания признания торгов несостоявшимися для размещения на электронной площадке и в Едином федеральном реестре сведений о банкротстве. Если к участию в торгах был допущен только один участник, заявка которого на участие в торгах содержит предложение о цене имущества должника не ниже установленной начальной цены имущества должника, договор купли-продажи заключается организатором с этим участником торгов в соответствии с представленным им предложением о цене имущества должника. В течение пяти дней с даты утверждения протокола финансовый управляющий направляет победителю торгов предложение заключить договор купли-продажи имущества с приложением проекта данного договора в соответствии с представленным победителем торгов предложением о цене имущества. Договор купли-продажи имущества должен быть заключен в течение пяти дней с даты получения победителем торгов предложения о заключении данного договора. В случае отказа или уклонения победителя торгов от подписания договора купли-продажи имущества в течение пяти дней со дня получения предложения финансового управляющего о заключении такого договора внесенный задаток ему не возвращается, и организатор торгов предлагает заключить договор купли-продажи участнику торгов, предложившему наиболее высокую цену имущества по сравнению с ценой, предложенной другими участниками торгов, за исключением победителя торгов. Сроки и порядок внесения и возврата задатка, реквизиты счетов, на которые вносится задаток: суммы внесенных заявителями задатков возвращаются всем заявителям, за исключением победителя торгов, в течение пяти рабочих дней со дня подписания протокола о результатах проведения торгов. При заключении договора с лицом, выигравшим торги, сумма внесенного им задатка засчитывается в счет исполнения договора. Победитель торгов перечисляет денежные средства в оплату приобретенного имущества в течение тридцати дней со дня подписания договора купли-продажи имущества по следующим реквизитам: ФИО получателя: Воронцов Алексей Иванович
Банк получателя: Доп.офис № 9040/00425 ПАО Сбербанк
Кор/счёт банка: 30101810400000000225
БИК банка: 044525225
Счёт получателя: № 40817.810.5.4010.8314639
Юридический адрес банка: 117997, г. Москва, ул. Вавилова, д. 19</w:t>
            </w:r>
          </w:p>
        </w:tc>
      </w:tr>
      <w:tr>
        <w:trPr/>
        <w:tc>
          <w:tcPr>
            <w:tcW w:w="10000" w:type="dxa"/>
            <w:vAlign w:val="center"/>
            <w:gridSpan w:val="2"/>
          </w:tcPr>
          <w:p/>
        </w:tc>
      </w:tr>
      <w:tr>
        <w:trPr/>
        <w:tc>
          <w:tcPr>
            <w:tcW w:w="10000" w:type="dxa"/>
            <w:vAlign w:val="center"/>
            <w:gridSpan w:val="2"/>
          </w:tcPr>
          <w:p>
            <w:pPr>
              <w:pStyle w:val=""/>
            </w:pPr>
            <w:r>
              <w:rPr>
                <w:rStyle w:val="table_header"/>
              </w:rPr>
              <w:t xml:space="preserve">Перечень допущенных участников</w:t>
            </w:r>
          </w:p>
        </w:tc>
      </w:tr>
      <w:tr>
        <w:trPr/>
        <w:tc>
          <w:tcPr>
            <w:tcW w:w="10000" w:type="dxa"/>
            <w:vAlign w:val="center"/>
            <w:gridSpan w:val="2"/>
          </w:tcPr>
          <w:p>
            <w:pPr>
              <w:pStyle w:val=""/>
            </w:pPr>
            <w:r>
              <w:rPr>
                <w:rStyle w:val=""/>
              </w:rPr>
              <w:t xml:space="preserve">Допущенные заявки отсутствуют</w:t>
            </w:r>
          </w:p>
        </w:tc>
      </w:tr>
      <w:tr>
        <w:trPr/>
        <w:tc>
          <w:tcPr>
            <w:tcW w:w="10000" w:type="dxa"/>
            <w:vAlign w:val="center"/>
            <w:gridSpan w:val="2"/>
          </w:tcPr>
          <w:p/>
        </w:tc>
      </w:tr>
      <w:tr>
        <w:trPr/>
        <w:tc>
          <w:tcPr>
            <w:tcW w:w="10000" w:type="dxa"/>
            <w:vAlign w:val="center"/>
            <w:gridSpan w:val="2"/>
          </w:tcPr>
          <w:p>
            <w:pPr>
              <w:pStyle w:val=""/>
            </w:pPr>
            <w:r>
              <w:rPr>
                <w:rStyle w:val="table_header"/>
              </w:rPr>
              <w:t xml:space="preserve">Ценовые предложения, поданные в ходе торгов</w:t>
            </w:r>
          </w:p>
        </w:tc>
      </w:tr>
      <w:tr>
        <w:trPr/>
        <w:tc>
          <w:tcPr>
            <w:tcW w:w="10000" w:type="dxa"/>
            <w:vAlign w:val="center"/>
            <w:gridSpan w:val="2"/>
          </w:tcPr>
          <w:p>
            <w:pPr>
              <w:pStyle w:val=""/>
            </w:pPr>
            <w:r>
              <w:rPr>
                <w:rStyle w:val=""/>
              </w:rPr>
              <w:t xml:space="preserve">Ценовых предложений на этот лот не подано</w:t>
            </w:r>
          </w:p>
        </w:tc>
      </w:tr>
      <w:tr>
        <w:trPr/>
        <w:tc>
          <w:tcPr>
            <w:tcW w:w="10000" w:type="dxa"/>
            <w:vAlign w:val="center"/>
            <w:gridSpan w:val="2"/>
          </w:tcPr>
          <w:p/>
        </w:tc>
      </w:tr>
      <w:tr>
        <w:trPr/>
        <w:tc>
          <w:tcPr>
            <w:tcW w:w="10000" w:type="dxa"/>
            <w:vAlign w:val="center"/>
            <w:gridSpan w:val="2"/>
          </w:tcPr>
          <w:p>
            <w:pPr>
              <w:pStyle w:val=""/>
            </w:pPr>
            <w:r>
              <w:rPr>
                <w:rStyle w:val="table_header"/>
              </w:rPr>
              <w:t xml:space="preserve">Результаты торгов</w:t>
            </w:r>
          </w:p>
        </w:tc>
      </w:tr>
      <w:tr>
        <w:trPr/>
        <w:tc>
          <w:tcPr>
            <w:tcW w:w="10000" w:type="dxa"/>
            <w:vAlign w:val="center"/>
            <w:gridSpan w:val="2"/>
          </w:tcPr>
          <w:p>
            <w:pPr>
              <w:pStyle w:val=""/>
            </w:pPr>
            <w:r>
              <w:rPr>
                <w:rStyle w:val=""/>
              </w:rPr>
              <w:t xml:space="preserve">В связи с тем, что не было представлено ни одной заявки на участие в торгах, организатором торгов принято решение о признании торгов несостоявшимися.</w:t>
            </w:r>
          </w:p>
        </w:tc>
      </w:tr>
      <w:tr>
        <w:trPr/>
        <w:tc>
          <w:tcPr>
            <w:tcW w:w="10000" w:type="dxa"/>
            <w:vAlign w:val="center"/>
            <w:gridSpan w:val="2"/>
          </w:tcPr>
          <w:p/>
        </w:tc>
      </w:tr>
    </w:tbl>
    <w:p>
      <w:pPr>
        <w:pStyle w:val=""/>
      </w:pPr>
      <w:r>
        <w:rPr>
          <w:rStyle w:val=""/>
        </w:rPr>
        <w:t xml:space="preserve"/>
      </w:r>
    </w:p>
    <w:p/>
    <w:p/>
    <w:p>
      <w:pPr>
        <w:pStyle w:val=""/>
      </w:pPr>
      <w:r>
        <w:rPr>
          <w:rStyle w:val=""/>
        </w:rPr>
        <w:t xml:space="preserve">Протокол подписан организатором торгов</w:t>
      </w:r>
    </w:p>
    <w:sectPr>
      <w:pgSz w:orient="portrait" w:w="11870" w:h="16787"/>
      <w:pgMar w:top="850" w:right="850" w:bottom="1440" w:left="8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imes New Roman" w:hAnsi="Times New Roman" w:eastAsia="Times New Roman" w:cs="Times New Roman"/>
        <w:sz w:val="26"/>
        <w:szCs w:val="26"/>
      </w:rPr>
    </w:rPrDefault>
  </w:docDefaults>
  <w:style w:type="paragraph" w:default="1" w:styleId="Normal">
    <w:name w:val="Normal"/>
    <w:pPr>
      <w:jc w:val="left"/>
      <w:ind w:left="0" w:right="0"/>
      <w:spacing w:after="0"/>
    </w:pPr>
  </w:style>
  <w:style w:type="character" w:styleId="FootnoteReference">
    <w:name w:val="Footnote Reference"/>
    <w:semiHidden/>
    <w:unhideWhenUsed/>
    <w:rPr>
      <w:vertAlign w:val="superscript"/>
    </w:rPr>
  </w:style>
  <w:style w:type="paragraph" w:customStyle="1" w:styleId="center">
    <w:name w:val="center"/>
    <w:basedOn w:val="Normal"/>
    <w:pPr>
      <w:jc w:val="center"/>
      <w:spacing w:after="0"/>
    </w:pPr>
  </w:style>
  <w:style w:type="character">
    <w:name w:val="doc_header"/>
    <w:rPr>
      <w:sz w:val="24"/>
      <w:szCs w:val="24"/>
      <w:b/>
      <w:caps/>
    </w:rPr>
  </w:style>
  <w:style w:type="character">
    <w:name w:val="bold"/>
    <w:rPr>
      <w:b/>
    </w:rPr>
  </w:style>
  <w:style w:type="character">
    <w:name w:val="table_header"/>
    <w:rPr>
      <w:color w:val="BE1E2D"/>
    </w:rPr>
  </w:style>
  <w:style w:type="table" w:customStyle="1" w:styleId="noborder">
    <w:name w:val="noborder"/>
    <w:uiPriority w:val="99"/>
    <w:tblPr>
      <w:jc w:val="left"/>
      <w:tblW w:w="100" w:type="auto"/>
      <w:tblCellMar>
        <w:top w:w="10" w:type="dxa"/>
        <w:left w:w="10" w:type="dxa"/>
        <w:right w:w="10" w:type="dxa"/>
        <w:bottom w:w="10" w:type="dxa"/>
      </w:tblCellMar>
    </w:tblPr>
  </w:style>
  <w:style w:type="table" w:customStyle="1" w:styleId="border">
    <w:name w:val="border"/>
    <w:uiPriority w:val="99"/>
    <w:tblPr>
      <w:jc w:val="left"/>
      <w:tblW w:w="100" w:type="auto"/>
      <w:tblCellMar>
        <w:top w:w="50" w:type="dxa"/>
        <w:left w:w="50" w:type="dxa"/>
        <w:right w:w="50" w:type="dxa"/>
        <w:bottom w:w="50" w:type="dxa"/>
      </w:tblCellMar>
    </w:tbl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2024-11-29T10:02:17+03:00</dcterms:created>
  <dcterms:modified xsi:type="dcterms:W3CDTF">2024-11-29T10:02:17+03:00</dcterms:modified>
</cp:coreProperties>
</file>

<file path=docProps/custom.xml><?xml version="1.0" encoding="utf-8"?>
<Properties xmlns="http://schemas.openxmlformats.org/officeDocument/2006/custom-properties" xmlns:vt="http://schemas.openxmlformats.org/officeDocument/2006/docPropsVTypes"/>
</file>