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center"/>
      </w:pPr>
      <w:r>
        <w:rPr>
          <w:rStyle w:val="doc_header"/>
        </w:rPr>
        <w:t xml:space="preserve">ПРОТОКОЛ РЕЗУЛЬТАТОВ ПРОВЕДЕНИЯ ТОРГОВ № 45953-ОТПП/8</w:t>
      </w:r>
    </w:p>
    <w:p/>
    <w:p>
      <w:pPr>
        <w:pStyle w:val=""/>
      </w:pPr>
      <w:r>
        <w:rPr>
          <w:rStyle w:val=""/>
        </w:rPr>
        <w:t xml:space="preserve">09.01.2025 г.</w:t>
      </w:r>
    </w:p>
    <w:p/>
    <w:tbl>
      <w:tblGrid>
        <w:gridCol w:w="4000" w:type="dxa"/>
        <w:gridCol w:w="6000" w:type="dxa"/>
      </w:tblGrid>
      <w:tblPr>
        <w:tblStyle w:val="noborder"/>
      </w:tblPr>
      <w:tr>
        <w:trPr/>
        <w:tc>
          <w:tcPr>
            <w:tcW w:w="10000" w:type="dxa"/>
            <w:vAlign w:val="center"/>
            <w:gridSpan w:val="2"/>
          </w:tcPr>
          <w:p>
            <w:pPr>
              <w:pStyle w:val=""/>
            </w:pPr>
            <w:r>
              <w:rPr>
                <w:rStyle w:val="table_header"/>
              </w:rPr>
              <w:t xml:space="preserve">Организатор торгов</w:t>
            </w:r>
          </w:p>
        </w:tc>
      </w:tr>
      <w:tr>
        <w:trPr/>
        <w:tc>
          <w:tcPr>
            <w:tcW w:w="4000" w:type="dxa"/>
            <w:vAlign w:val="center"/>
          </w:tcPr>
          <w:p>
            <w:pPr>
              <w:pStyle w:val=""/>
            </w:pPr>
            <w:r>
              <w:rPr>
                <w:rStyle w:val=""/>
              </w:rPr>
              <w:t xml:space="preserve">ФИО:</w:t>
            </w:r>
          </w:p>
        </w:tc>
        <w:tc>
          <w:tcPr>
            <w:tcW w:w="6000" w:type="dxa"/>
            <w:vAlign w:val="center"/>
          </w:tcPr>
          <w:p>
            <w:pPr>
              <w:pStyle w:val=""/>
            </w:pPr>
            <w:r>
              <w:rPr>
                <w:rStyle w:val=""/>
              </w:rPr>
              <w:t xml:space="preserve">Фадеев Владимир Геннадьевич</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720406216059</w:t>
            </w:r>
          </w:p>
        </w:tc>
      </w:tr>
      <w:tr>
        <w:trPr/>
        <w:tc>
          <w:tcPr>
            <w:tcW w:w="4000" w:type="dxa"/>
            <w:vAlign w:val="center"/>
          </w:tcPr>
          <w:p>
            <w:pPr>
              <w:pStyle w:val=""/>
            </w:pPr>
            <w:r>
              <w:rPr>
                <w:rStyle w:val=""/>
              </w:rPr>
              <w:t xml:space="preserve">Телефон/факс:</w:t>
            </w:r>
          </w:p>
        </w:tc>
        <w:tc>
          <w:tcPr>
            <w:tcW w:w="6000" w:type="dxa"/>
            <w:vAlign w:val="center"/>
          </w:tcPr>
          <w:p>
            <w:pPr>
              <w:pStyle w:val=""/>
            </w:pPr>
            <w:r>
              <w:rPr>
                <w:rStyle w:val=""/>
              </w:rPr>
              <w:t xml:space="preserve">+7 922 262-50-00</w:t>
            </w:r>
          </w:p>
        </w:tc>
      </w:tr>
      <w:tr>
        <w:trPr/>
        <w:tc>
          <w:tcPr>
            <w:tcW w:w="10000" w:type="dxa"/>
            <w:vAlign w:val="center"/>
            <w:gridSpan w:val="2"/>
          </w:tcPr>
          <w:p/>
        </w:tc>
      </w:tr>
      <w:tr>
        <w:trPr/>
        <w:tc>
          <w:tcPr>
            <w:tcW w:w="10000" w:type="dxa"/>
            <w:vAlign w:val="center"/>
            <w:gridSpan w:val="2"/>
          </w:tcPr>
          <w:p>
            <w:pPr>
              <w:pStyle w:val=""/>
            </w:pPr>
            <w:r>
              <w:rPr>
                <w:rStyle w:val="table_header"/>
              </w:rPr>
              <w:t xml:space="preserve">Сведения о должнике</w:t>
            </w:r>
          </w:p>
        </w:tc>
      </w:tr>
      <w:tr>
        <w:trPr/>
        <w:tc>
          <w:tcPr>
            <w:tcW w:w="4000" w:type="dxa"/>
            <w:vAlign w:val="center"/>
          </w:tcPr>
          <w:p>
            <w:pPr>
              <w:pStyle w:val=""/>
            </w:pPr>
            <w:r>
              <w:rPr>
                <w:rStyle w:val=""/>
              </w:rPr>
              <w:t xml:space="preserve">Наименование:</w:t>
            </w:r>
          </w:p>
        </w:tc>
        <w:tc>
          <w:tcPr>
            <w:tcW w:w="6000" w:type="dxa"/>
            <w:vAlign w:val="center"/>
          </w:tcPr>
          <w:p>
            <w:pPr>
              <w:pStyle w:val=""/>
            </w:pPr>
            <w:r>
              <w:rPr>
                <w:rStyle w:val=""/>
              </w:rPr>
              <w:t xml:space="preserve">Общество с ограниченной ответственностью  Нефтегазодобывающее Управление  Майорское</w:t>
            </w:r>
          </w:p>
        </w:tc>
      </w:tr>
      <w:tr>
        <w:trPr/>
        <w:tc>
          <w:tcPr>
            <w:tcW w:w="4000" w:type="dxa"/>
            <w:vAlign w:val="center"/>
          </w:tcPr>
          <w:p>
            <w:pPr>
              <w:pStyle w:val=""/>
            </w:pPr>
            <w:r>
              <w:rPr>
                <w:rStyle w:val=""/>
              </w:rPr>
              <w:t xml:space="preserve">ИНН:</w:t>
            </w:r>
          </w:p>
        </w:tc>
        <w:tc>
          <w:tcPr>
            <w:tcW w:w="6000" w:type="dxa"/>
            <w:vAlign w:val="center"/>
          </w:tcPr>
          <w:p>
            <w:pPr>
              <w:pStyle w:val=""/>
            </w:pPr>
            <w:r>
              <w:rPr>
                <w:rStyle w:val=""/>
              </w:rPr>
              <w:t xml:space="preserve">5609088561</w:t>
            </w:r>
          </w:p>
        </w:tc>
      </w:tr>
      <w:tr>
        <w:trPr/>
        <w:tc>
          <w:tcPr>
            <w:tcW w:w="4000" w:type="dxa"/>
            <w:vAlign w:val="center"/>
          </w:tcPr>
          <w:p>
            <w:pPr>
              <w:pStyle w:val=""/>
            </w:pPr>
            <w:r>
              <w:rPr>
                <w:rStyle w:val=""/>
              </w:rPr>
              <w:t xml:space="preserve">Адрес:</w:t>
            </w:r>
          </w:p>
        </w:tc>
        <w:tc>
          <w:tcPr>
            <w:tcW w:w="6000" w:type="dxa"/>
            <w:vAlign w:val="center"/>
          </w:tcPr>
          <w:p>
            <w:pPr>
              <w:pStyle w:val=""/>
            </w:pPr>
            <w:r>
              <w:rPr>
                <w:rStyle w:val=""/>
              </w:rPr>
              <w:t xml:space="preserve">107078, г. Москва, вн.тер. г.муниципальный округ Красносельский, пер. Орликов, д. 5, стр. 1, этаж 06, помещ. 13,</w:t>
            </w:r>
          </w:p>
        </w:tc>
      </w:tr>
      <w:tr>
        <w:trPr/>
        <w:tc>
          <w:tcPr>
            <w:tcW w:w="4000" w:type="dxa"/>
            <w:vAlign w:val="center"/>
          </w:tcPr>
          <w:p>
            <w:pPr>
              <w:pStyle w:val=""/>
            </w:pPr>
            <w:r>
              <w:rPr>
                <w:rStyle w:val=""/>
              </w:rPr>
              <w:t xml:space="preserve">Номер дела:</w:t>
            </w:r>
          </w:p>
        </w:tc>
        <w:tc>
          <w:tcPr>
            <w:tcW w:w="6000" w:type="dxa"/>
            <w:vAlign w:val="center"/>
          </w:tcPr>
          <w:p>
            <w:pPr>
              <w:pStyle w:val=""/>
            </w:pPr>
            <w:r>
              <w:rPr>
                <w:rStyle w:val=""/>
              </w:rPr>
              <w:t xml:space="preserve">А40-6271/2022</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Информация о торгах и лоте</w:t>
            </w:r>
          </w:p>
        </w:tc>
      </w:tr>
      <w:tr>
        <w:trPr/>
        <w:tc>
          <w:tcPr>
            <w:tcW w:w="4000" w:type="dxa"/>
            <w:vAlign w:val="center"/>
          </w:tcPr>
          <w:p>
            <w:pPr>
              <w:pStyle w:val=""/>
            </w:pPr>
            <w:r>
              <w:rPr>
                <w:rStyle w:val=""/>
              </w:rPr>
              <w:t xml:space="preserve">Тип торгов:</w:t>
            </w:r>
          </w:p>
        </w:tc>
        <w:tc>
          <w:tcPr>
            <w:tcW w:w="6000" w:type="dxa"/>
            <w:vAlign w:val="center"/>
          </w:tcPr>
          <w:p>
            <w:pPr>
              <w:pStyle w:val=""/>
            </w:pPr>
            <w:r>
              <w:rPr>
                <w:rStyle w:val=""/>
              </w:rPr>
              <w:t xml:space="preserve">Публичное предложение</w:t>
            </w:r>
          </w:p>
        </w:tc>
      </w:tr>
      <w:tr>
        <w:trPr/>
        <w:tc>
          <w:tcPr>
            <w:tcW w:w="4000" w:type="dxa"/>
            <w:vAlign w:val="center"/>
          </w:tcPr>
          <w:p>
            <w:pPr>
              <w:pStyle w:val=""/>
            </w:pPr>
            <w:r>
              <w:rPr>
                <w:rStyle w:val=""/>
              </w:rPr>
              <w:t xml:space="preserve">Код торгов:</w:t>
            </w:r>
          </w:p>
        </w:tc>
        <w:tc>
          <w:tcPr>
            <w:tcW w:w="6000" w:type="dxa"/>
            <w:vAlign w:val="center"/>
          </w:tcPr>
          <w:p>
            <w:pPr>
              <w:pStyle w:val=""/>
            </w:pPr>
            <w:r>
              <w:rPr>
                <w:rStyle w:val=""/>
              </w:rPr>
              <w:t xml:space="preserve">45953-ОТПП</w:t>
            </w:r>
          </w:p>
        </w:tc>
      </w:tr>
      <w:tr>
        <w:trPr/>
        <w:tc>
          <w:tcPr>
            <w:tcW w:w="4000" w:type="dxa"/>
            <w:vAlign w:val="center"/>
          </w:tcPr>
          <w:p>
            <w:pPr>
              <w:pStyle w:val=""/>
            </w:pPr>
            <w:r>
              <w:rPr>
                <w:rStyle w:val=""/>
              </w:rPr>
              <w:t xml:space="preserve">Дата начала приема заявок:</w:t>
            </w:r>
          </w:p>
        </w:tc>
        <w:tc>
          <w:tcPr>
            <w:tcW w:w="6000" w:type="dxa"/>
            <w:vAlign w:val="center"/>
          </w:tcPr>
          <w:p>
            <w:pPr>
              <w:pStyle w:val=""/>
            </w:pPr>
            <w:r>
              <w:rPr>
                <w:rStyle w:val=""/>
              </w:rPr>
              <w:t xml:space="preserve">12.11.2024 12:00:00</w:t>
            </w:r>
          </w:p>
        </w:tc>
      </w:tr>
      <w:tr>
        <w:trPr/>
        <w:tc>
          <w:tcPr>
            <w:tcW w:w="4000" w:type="dxa"/>
            <w:vAlign w:val="center"/>
          </w:tcPr>
          <w:p>
            <w:pPr>
              <w:pStyle w:val=""/>
            </w:pPr>
            <w:r>
              <w:rPr>
                <w:rStyle w:val=""/>
              </w:rPr>
              <w:t xml:space="preserve">Дата окончания приема заявок:</w:t>
            </w:r>
          </w:p>
        </w:tc>
        <w:tc>
          <w:tcPr>
            <w:tcW w:w="6000" w:type="dxa"/>
            <w:vAlign w:val="center"/>
          </w:tcPr>
          <w:p>
            <w:pPr>
              <w:pStyle w:val=""/>
            </w:pPr>
            <w:r>
              <w:rPr>
                <w:rStyle w:val=""/>
              </w:rPr>
              <w:t xml:space="preserve">06.01.2025 12:00:00</w:t>
            </w:r>
          </w:p>
        </w:tc>
      </w:tr>
      <w:tr>
        <w:trPr/>
        <w:tc>
          <w:tcPr>
            <w:tcW w:w="4000" w:type="dxa"/>
            <w:vAlign w:val="center"/>
          </w:tcPr>
          <w:p>
            <w:pPr>
              <w:pStyle w:val=""/>
            </w:pPr>
            <w:r>
              <w:rPr>
                <w:rStyle w:val=""/>
              </w:rPr>
              <w:t xml:space="preserve">Номер лота:</w:t>
            </w:r>
          </w:p>
        </w:tc>
        <w:tc>
          <w:tcPr>
            <w:tcW w:w="6000" w:type="dxa"/>
            <w:vAlign w:val="center"/>
          </w:tcPr>
          <w:p>
            <w:pPr>
              <w:pStyle w:val=""/>
            </w:pPr>
            <w:r>
              <w:rPr>
                <w:rStyle w:val=""/>
              </w:rPr>
              <w:t xml:space="preserve">8</w:t>
            </w:r>
          </w:p>
        </w:tc>
      </w:tr>
      <w:tr>
        <w:trPr/>
        <w:tc>
          <w:tcPr>
            <w:tcW w:w="4000" w:type="dxa"/>
            <w:vAlign w:val="center"/>
          </w:tcPr>
          <w:p>
            <w:pPr>
              <w:pStyle w:val=""/>
            </w:pPr>
            <w:r>
              <w:rPr>
                <w:rStyle w:val=""/>
              </w:rPr>
              <w:t xml:space="preserve">Сведения об имуществе:</w:t>
            </w:r>
          </w:p>
        </w:tc>
        <w:tc>
          <w:tcPr>
            <w:tcW w:w="6000" w:type="dxa"/>
            <w:vAlign w:val="center"/>
          </w:tcPr>
          <w:p>
            <w:pPr>
              <w:pStyle w:val=""/>
            </w:pPr>
            <w:r>
              <w:rPr>
                <w:rStyle w:val=""/>
              </w:rPr>
              <w:t xml:space="preserve">Право требования к ООО СК «ВекторПроджект» (ИНН 7715941922) в размере 92 060 000 руб. 00 коп.</w:t>
            </w:r>
          </w:p>
        </w:tc>
      </w:tr>
      <w:tr>
        <w:trPr/>
        <w:tc>
          <w:tcPr>
            <w:tcW w:w="4000" w:type="dxa"/>
            <w:vAlign w:val="center"/>
          </w:tcPr>
          <w:p>
            <w:pPr>
              <w:pStyle w:val=""/>
            </w:pPr>
            <w:r>
              <w:rPr>
                <w:rStyle w:val=""/>
              </w:rPr>
              <w:t xml:space="preserve">Стартовая цена продажи имущества:</w:t>
            </w:r>
          </w:p>
        </w:tc>
        <w:tc>
          <w:tcPr>
            <w:tcW w:w="6000" w:type="dxa"/>
            <w:vAlign w:val="center"/>
          </w:tcPr>
          <w:p>
            <w:pPr>
              <w:pStyle w:val=""/>
            </w:pPr>
            <w:r>
              <w:rPr>
                <w:rStyle w:val=""/>
              </w:rPr>
              <w:t xml:space="preserve">92 060 000.00</w:t>
            </w:r>
          </w:p>
        </w:tc>
      </w:tr>
      <w:tr>
        <w:trPr/>
        <w:tc>
          <w:tcPr>
            <w:tcW w:w="4000" w:type="dxa"/>
            <w:vAlign w:val="center"/>
          </w:tcPr>
          <w:p>
            <w:pPr>
              <w:pStyle w:val=""/>
            </w:pPr>
            <w:r>
              <w:rPr>
                <w:rStyle w:val=""/>
              </w:rPr>
              <w:t xml:space="preserve">Порядок и критерии определения победителя торгов:</w:t>
            </w:r>
          </w:p>
        </w:tc>
        <w:tc>
          <w:tcPr>
            <w:tcW w:w="6000" w:type="dxa"/>
            <w:vAlign w:val="center"/>
          </w:tcPr>
          <w:p>
            <w:pPr>
              <w:pStyle w:val=""/>
            </w:pPr>
            <w:r>
              <w:rPr>
                <w:rStyle w:val=""/>
              </w:rPr>
              <w:t xml:space="preserve">Порядок определения победителя торгов установлен ст. 110, п. 4 ст. 139 ФЗ «О несостоятельности (банкротстве)» №127-ФЗ. Право приобретения имущественных прав Должника принадлежит участнику торгов по продаже имущественных прав Должника посредством публичного предложения, который представил в установленный срок заявку на участие в торгах, содержащую предложение о цене имущественных прав Должника, которая не ниже начальной цены продажи имущественных прав Должника, установленной для определенного периода проведения торгов, при отсутствии предложений других участников торгов по продаже имущественных прав Должника посредством публичного предложения.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различные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предложившему максимальную цену за эти имущественные права. В случае, если несколько участников торгов по продаже имущественных прав Должника посредством публичного предложения представили в установленный срок заявки, содержащие равные предложения о цене имущественных прав Должника, но не ниже начальной цены продажи имущественных прав Должника, установленной для определенного периода проведения торгов, право приобретения имущественных прав Должника принадлежит участнику торгов, который первым представил в установленный срок заявку на участие в торгах по продаже имущественных прав Должника посредством публичного предложения. Решение организатора торгов об определении победителя торгов оформляется протоколом о результатах торгов. Результаты торгов подводятся на сайте ЭТП после окончания соответствующего периода в течение одного рабочего дня при наличии заявки. С даты определения победителя торгов по продаже имущественных прав Должника посредством публичного предложения прием заявок прекращается.</w:t>
            </w:r>
          </w:p>
        </w:tc>
      </w:tr>
      <w:tr>
        <w:trPr/>
        <w:tc>
          <w:tcPr>
            <w:tcW w:w="10000" w:type="dxa"/>
            <w:vAlign w:val="center"/>
            <w:gridSpan w:val="2"/>
          </w:tcPr>
          <w:p/>
        </w:tc>
      </w:tr>
      <w:tr>
        <w:trPr/>
        <w:tc>
          <w:tcPr>
            <w:tcW w:w="10000" w:type="dxa"/>
            <w:vAlign w:val="center"/>
            <w:gridSpan w:val="2"/>
          </w:tcPr>
          <w:p>
            <w:pPr>
              <w:pStyle w:val=""/>
            </w:pPr>
            <w:r>
              <w:rPr>
                <w:rStyle w:val="table_header"/>
              </w:rPr>
              <w:t xml:space="preserve">Интервалы снижения для лота</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Начало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Окончание приема заявок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Задаток на интервале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Цена на интервале</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9 206 000.00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92 060 000.00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8 285 400.00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82 854 000.00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7 364 800.00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73 648 000.00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27.11.2024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6 444 200.00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64 442 000.00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5 523 600.00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55 236 000.00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4 603 000.00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46 030 000.00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3 682 400.00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36 824 000.00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2 761 800.00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27 618 000.00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22.12.2024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1 841 200.00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18 412 000.00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27.12.2024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920 600.00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9 206 000.00</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12:00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9 206.00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92 060.00</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Перечень допущенных участников (на первом интервале с допущенными заявками)</w:t>
            </w:r>
          </w:p>
        </w:tc>
      </w:tr>
      <w:tr>
        <w:trPr/>
        <w:tc>
          <w:tcPr>
            <w:tcW w:w="10000" w:type="dxa"/>
            <w:vAlign w:val="center"/>
            <w:gridSpan w:val="2"/>
          </w:tcPr>
          <w:tbl>
            <w:tblGrid>
              <w:gridCol w:w="4000" w:type="dxa"/>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Номер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Дата подачи заявки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Заявитель</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Статус заявки</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45953-ОТПП-8-1</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12:43:12.807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45953-ОТПП-8-2</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11:02:00.916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Заявка допущена</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Ценовые предложения, поданные в ходе торгов</w:t>
            </w:r>
          </w:p>
        </w:tc>
      </w:tr>
      <w:tr>
        <w:trPr/>
        <w:tc>
          <w:tcPr>
            <w:tcW w:w="10000" w:type="dxa"/>
            <w:vAlign w:val="center"/>
            <w:gridSpan w:val="2"/>
          </w:tcPr>
          <w:tbl>
            <w:tblGrid>
              <w:gridCol w:w="4000" w:type="dxa"/>
              <w:gridCol w:w="4000" w:type="dxa"/>
              <w:gridCol w:w="4000" w:type="dxa"/>
            </w:tblGrid>
            <w:tblPr>
              <w:tblStyle w:val="border"/>
            </w:tblPr>
            <w:tr>
              <w:trPr/>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Ценовое предложение</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Время подачи</w:t>
                  </w:r>
                </w:p>
              </w:tc>
              <w:tc>
                <w:tcPr>
                  <w:tcW w:w="4000" w:type="dxa"/>
                  <w:vAlign w:val="center"/>
                  <w:tcBorders>
                    <w:top w:val="single" w:sz="1" w:color="ffffff"/>
                    <w:left w:val="single" w:sz="1" w:color="ffffff"/>
                    <w:right w:val="single" w:sz="1" w:color="ffffff"/>
                    <w:bottom w:val="single" w:sz="1" w:color="ffffff"/>
                  </w:tcBorders>
                  <w:shd w:val="clear" w:color="" w:fill="cdd1da"/>
                </w:tcPr>
                <w:p>
                  <w:pPr>
                    <w:pStyle w:val=""/>
                  </w:pPr>
                  <w:r>
                    <w:rPr>
                      <w:rStyle w:val=""/>
                    </w:rPr>
                    <w:t xml:space="preserve">Участник</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102 100.00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01.01.2025 12:43:12.807</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Мельник Игорь Денисович (ИНН 772459660390, место жительства: г. Москва, 109125 кв-л 95-й Волжский бульвар, д. б/н, к. 6, кв. 56)</w:t>
                  </w:r>
                </w:p>
              </w:tc>
            </w:tr>
            <w:tr>
              <w:trPr/>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97 777.00</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06.01.2025 11:02:00.916</w:t>
                  </w:r>
                </w:p>
              </w:tc>
              <w:tc>
                <w:tcPr>
                  <w:tcW w:w="4000" w:type="dxa"/>
                  <w:vAlign w:val="center"/>
                  <w:tcBorders>
                    <w:top w:val="single" w:sz="1" w:color="ffffff"/>
                    <w:left w:val="single" w:sz="1" w:color="ffffff"/>
                    <w:right w:val="single" w:sz="1" w:color="ffffff"/>
                    <w:bottom w:val="single" w:sz="1" w:color="ffffff"/>
                  </w:tcBorders>
                </w:tcPr>
                <w:p>
                  <w:pPr>
                    <w:pStyle w:val=""/>
                  </w:pPr>
                  <w:r>
                    <w:rPr>
                      <w:rStyle w:val=""/>
                    </w:rPr>
                    <w:t xml:space="preserve">Негодуйко Марк Игоревич (ИНН 781446604629, место жительства: Российская Федерация, г. Санкт-Петербург, ул. Планерная, д. 21, к. 1, кв. 93)</w:t>
                  </w:r>
                </w:p>
              </w:tc>
            </w:tr>
          </w:tbl>
          <w:p/>
        </w:tc>
      </w:tr>
      <w:tr>
        <w:trPr/>
        <w:tc>
          <w:tcPr>
            <w:tcW w:w="10000" w:type="dxa"/>
            <w:vAlign w:val="center"/>
            <w:gridSpan w:val="2"/>
          </w:tcPr>
          <w:p/>
        </w:tc>
      </w:tr>
      <w:tr>
        <w:trPr/>
        <w:tc>
          <w:tcPr>
            <w:tcW w:w="10000" w:type="dxa"/>
            <w:vAlign w:val="center"/>
            <w:gridSpan w:val="2"/>
          </w:tcPr>
          <w:p>
            <w:pPr>
              <w:pStyle w:val=""/>
            </w:pPr>
            <w:r>
              <w:rPr>
                <w:rStyle w:val="table_header"/>
              </w:rPr>
              <w:t xml:space="preserve">Результаты торгов</w:t>
            </w:r>
          </w:p>
        </w:tc>
      </w:tr>
      <w:tr>
        <w:trPr/>
        <w:tc>
          <w:tcPr>
            <w:tcW w:w="10000" w:type="dxa"/>
            <w:vAlign w:val="center"/>
            <w:gridSpan w:val="2"/>
          </w:tcPr>
          <w:p>
            <w:pPr>
              <w:pStyle w:val=""/>
            </w:pPr>
            <w:r>
              <w:rPr>
                <w:rStyle w:val=""/>
              </w:rPr>
              <w:t xml:space="preserve">Торги завершены</w:t>
            </w:r>
          </w:p>
        </w:tc>
      </w:tr>
      <w:tr>
        <w:trPr/>
        <w:tc>
          <w:tcPr>
            <w:tcW w:w="10000" w:type="dxa"/>
            <w:vAlign w:val="center"/>
            <w:gridSpan w:val="2"/>
          </w:tcPr>
          <w:p>
            <w:pPr>
              <w:pStyle w:val=""/>
            </w:pPr>
            <w:r>
              <w:rPr>
                <w:rStyle w:val=""/>
              </w:rPr>
              <w:t xml:space="preserve">Наиболее высокую цену в размере 102 100.00 рублей за имущество, составляющее Лот, предложил участник Мельник Игорь Денисович (ИНН 772459660390, место жительства: г. Москва, 109125 кв-л 95-й Волжский бульвар, д. б/н, к. 6, кв. 56), который признается победителем торгов по лоту.</w:t>
            </w:r>
          </w:p>
        </w:tc>
      </w:tr>
      <w:tr>
        <w:trPr/>
        <w:tc>
          <w:tcPr>
            <w:tcW w:w="10000" w:type="dxa"/>
            <w:vAlign w:val="center"/>
            <w:gridSpan w:val="2"/>
          </w:tcPr>
          <w:p>
            <w:pPr>
              <w:pStyle w:val=""/>
            </w:pPr>
            <w:r>
              <w:rPr>
                <w:rStyle w:val=""/>
              </w:rPr>
              <w:t xml:space="preserve">Наиболее высокую цену (не считая цены победителя торгов) в размере 97 777.00 рублей за имущество, составляющее Лот, предложил участник Негодуйко Марк Игоревич (ИНН 781446604629, место жительства: Российская Федерация, г. Санкт-Петербург, ул. Планерная, д. 21, к. 1, кв. 93)</w:t>
            </w:r>
          </w:p>
        </w:tc>
      </w:tr>
      <w:tr>
        <w:trPr/>
        <w:tc>
          <w:tcPr>
            <w:tcW w:w="10000" w:type="dxa"/>
            <w:vAlign w:val="center"/>
            <w:gridSpan w:val="2"/>
          </w:tcPr>
          <w:p/>
        </w:tc>
      </w:tr>
    </w:tbl>
    <w:p>
      <w:pPr>
        <w:pStyle w:val=""/>
      </w:pPr>
      <w:r>
        <w:rPr>
          <w:rStyle w:val=""/>
        </w:rPr>
        <w:t xml:space="preserve"/>
      </w:r>
    </w:p>
    <w:p/>
    <w:p/>
    <w:p>
      <w:pPr>
        <w:pStyle w:val=""/>
      </w:pPr>
      <w:r>
        <w:rPr>
          <w:rStyle w:val=""/>
        </w:rPr>
        <w:t xml:space="preserve">Протокол подписан организатором торгов</w:t>
      </w:r>
    </w:p>
    <w:sectPr>
      <w:pgSz w:orient="portrait" w:w="11870" w:h="16787"/>
      <w:pgMar w:top="850" w:right="850" w:bottom="1440" w:left="8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Times New Roman" w:cs="Times New Roman"/>
        <w:sz w:val="26"/>
        <w:szCs w:val="26"/>
      </w:rPr>
    </w:rPrDefault>
  </w:docDefaults>
  <w:style w:type="paragraph" w:default="1" w:styleId="Normal">
    <w:name w:val="Normal"/>
    <w:pPr>
      <w:jc w:val="left"/>
      <w:ind w:left="0" w:right="0"/>
      <w:spacing w:after="0"/>
    </w:pPr>
  </w:style>
  <w:style w:type="character" w:styleId="FootnoteReference">
    <w:name w:val="Footnote Reference"/>
    <w:semiHidden/>
    <w:unhideWhenUsed/>
    <w:rPr>
      <w:vertAlign w:val="superscript"/>
    </w:rPr>
  </w:style>
  <w:style w:type="paragraph" w:customStyle="1" w:styleId="center">
    <w:name w:val="center"/>
    <w:basedOn w:val="Normal"/>
    <w:pPr>
      <w:jc w:val="center"/>
      <w:spacing w:after="0"/>
    </w:pPr>
  </w:style>
  <w:style w:type="character">
    <w:name w:val="doc_header"/>
    <w:rPr>
      <w:sz w:val="24"/>
      <w:szCs w:val="24"/>
      <w:b/>
      <w:caps/>
    </w:rPr>
  </w:style>
  <w:style w:type="character">
    <w:name w:val="bold"/>
    <w:rPr>
      <w:b/>
    </w:rPr>
  </w:style>
  <w:style w:type="character">
    <w:name w:val="table_header"/>
    <w:rPr>
      <w:color w:val="BE1E2D"/>
    </w:rPr>
  </w:style>
  <w:style w:type="table" w:customStyle="1" w:styleId="noborder">
    <w:name w:val="noborder"/>
    <w:uiPriority w:val="99"/>
    <w:tblPr>
      <w:jc w:val="left"/>
      <w:tblW w:w="100" w:type="auto"/>
      <w:tblCellMar>
        <w:top w:w="10" w:type="dxa"/>
        <w:left w:w="10" w:type="dxa"/>
        <w:right w:w="10" w:type="dxa"/>
        <w:bottom w:w="10" w:type="dxa"/>
      </w:tblCellMar>
    </w:tblPr>
  </w:style>
  <w:style w:type="table" w:customStyle="1" w:styleId="border">
    <w:name w:val="border"/>
    <w:uiPriority w:val="99"/>
    <w:tblPr>
      <w:jc w:val="left"/>
      <w:tblW w:w="100" w:type="auto"/>
      <w:tblCellMar>
        <w:top w:w="50" w:type="dxa"/>
        <w:left w:w="50" w:type="dxa"/>
        <w:right w:w="50" w:type="dxa"/>
        <w:bottom w:w="50"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2025-01-09T14:20:06+03:00</dcterms:created>
  <dcterms:modified xsi:type="dcterms:W3CDTF">2025-01-09T14:20:06+03:00</dcterms:modified>
</cp:coreProperties>
</file>

<file path=docProps/custom.xml><?xml version="1.0" encoding="utf-8"?>
<Properties xmlns="http://schemas.openxmlformats.org/officeDocument/2006/custom-properties" xmlns:vt="http://schemas.openxmlformats.org/officeDocument/2006/docPropsVTypes"/>
</file>