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center"/>
      </w:pPr>
      <w:r>
        <w:rPr>
          <w:rStyle w:val="doc_header"/>
        </w:rPr>
        <w:t xml:space="preserve">ПРОТОКОЛ ОБ ОПРЕДЕЛЕНИИ УЧАСТНИКОВ ТОРГОВ № 39578-ОТПП/65</w:t>
      </w:r>
    </w:p>
    <w:p/>
    <w:p>
      <w:pPr>
        <w:pStyle w:val=""/>
      </w:pPr>
      <w:r>
        <w:rPr>
          <w:rStyle w:val=""/>
        </w:rPr>
        <w:t xml:space="preserve">14.03.2024 г.</w:t>
      </w:r>
    </w:p>
    <w:p/>
    <w:tbl>
      <w:tblGrid>
        <w:gridCol w:w="4000" w:type="dxa"/>
        <w:gridCol w:w="6000" w:type="dxa"/>
      </w:tblGrid>
      <w:tblPr>
        <w:tblStyle w:val="noborder"/>
      </w:tblPr>
      <w:tr>
        <w:trPr/>
        <w:tc>
          <w:tcPr>
            <w:tcW w:w="10000" w:type="dxa"/>
            <w:vAlign w:val="center"/>
            <w:gridSpan w:val="2"/>
          </w:tcPr>
          <w:p>
            <w:pPr>
              <w:pStyle w:val=""/>
            </w:pPr>
            <w:r>
              <w:rPr>
                <w:rStyle w:val="table_header"/>
              </w:rPr>
              <w:t xml:space="preserve">Организатор торгов</w:t>
            </w:r>
          </w:p>
        </w:tc>
      </w:tr>
      <w:tr>
        <w:trPr/>
        <w:tc>
          <w:tcPr>
            <w:tcW w:w="4000" w:type="dxa"/>
            <w:vAlign w:val="center"/>
          </w:tcPr>
          <w:p>
            <w:pPr>
              <w:pStyle w:val=""/>
            </w:pPr>
            <w:r>
              <w:rPr>
                <w:rStyle w:val=""/>
              </w:rPr>
              <w:t xml:space="preserve">ФИО:</w:t>
            </w:r>
          </w:p>
        </w:tc>
        <w:tc>
          <w:tcPr>
            <w:tcW w:w="6000" w:type="dxa"/>
            <w:vAlign w:val="center"/>
          </w:tcPr>
          <w:p>
            <w:pPr>
              <w:pStyle w:val=""/>
            </w:pPr>
            <w:r>
              <w:rPr>
                <w:rStyle w:val=""/>
              </w:rPr>
              <w:t xml:space="preserve">Селищев Анатолий Юрьевич</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366200848684</w:t>
            </w:r>
          </w:p>
        </w:tc>
      </w:tr>
      <w:tr>
        <w:trPr/>
        <w:tc>
          <w:tcPr>
            <w:tcW w:w="4000" w:type="dxa"/>
            <w:vAlign w:val="center"/>
          </w:tcPr>
          <w:p>
            <w:pPr>
              <w:pStyle w:val=""/>
            </w:pPr>
            <w:r>
              <w:rPr>
                <w:rStyle w:val=""/>
              </w:rPr>
              <w:t xml:space="preserve">Телефон/факс:</w:t>
            </w:r>
          </w:p>
        </w:tc>
        <w:tc>
          <w:tcPr>
            <w:tcW w:w="6000" w:type="dxa"/>
            <w:vAlign w:val="center"/>
          </w:tcPr>
          <w:p>
            <w:pPr>
              <w:pStyle w:val=""/>
            </w:pPr>
            <w:r>
              <w:rPr>
                <w:rStyle w:val=""/>
              </w:rPr>
              <w:t xml:space="preserve">+7 (903) 651 79 52</w:t>
            </w:r>
          </w:p>
        </w:tc>
      </w:tr>
      <w:tr>
        <w:trPr/>
        <w:tc>
          <w:tcPr>
            <w:tcW w:w="10000" w:type="dxa"/>
            <w:vAlign w:val="center"/>
            <w:gridSpan w:val="2"/>
          </w:tcPr>
          <w:p/>
        </w:tc>
      </w:tr>
      <w:tr>
        <w:trPr/>
        <w:tc>
          <w:tcPr>
            <w:tcW w:w="10000" w:type="dxa"/>
            <w:vAlign w:val="center"/>
            <w:gridSpan w:val="2"/>
          </w:tcPr>
          <w:p>
            <w:pPr>
              <w:pStyle w:val=""/>
            </w:pPr>
            <w:r>
              <w:rPr>
                <w:rStyle w:val="table_header"/>
              </w:rPr>
              <w:t xml:space="preserve">Сведения о должнике</w:t>
            </w:r>
          </w:p>
        </w:tc>
      </w:tr>
      <w:tr>
        <w:trPr/>
        <w:tc>
          <w:tcPr>
            <w:tcW w:w="4000" w:type="dxa"/>
            <w:vAlign w:val="center"/>
          </w:tcPr>
          <w:p>
            <w:pPr>
              <w:pStyle w:val=""/>
            </w:pPr>
            <w:r>
              <w:rPr>
                <w:rStyle w:val=""/>
              </w:rPr>
              <w:t xml:space="preserve">Наименование:</w:t>
            </w:r>
          </w:p>
        </w:tc>
        <w:tc>
          <w:tcPr>
            <w:tcW w:w="6000" w:type="dxa"/>
            <w:vAlign w:val="center"/>
          </w:tcPr>
          <w:p>
            <w:pPr>
              <w:pStyle w:val=""/>
            </w:pPr>
            <w:r>
              <w:rPr>
                <w:rStyle w:val=""/>
              </w:rPr>
              <w:t xml:space="preserve">ООО Ява Строй</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7706203397</w:t>
            </w:r>
          </w:p>
        </w:tc>
      </w:tr>
      <w:tr>
        <w:trPr/>
        <w:tc>
          <w:tcPr>
            <w:tcW w:w="4000" w:type="dxa"/>
            <w:vAlign w:val="center"/>
          </w:tcPr>
          <w:p>
            <w:pPr>
              <w:pStyle w:val=""/>
            </w:pPr>
            <w:r>
              <w:rPr>
                <w:rStyle w:val=""/>
              </w:rPr>
              <w:t xml:space="preserve">Адрес:</w:t>
            </w:r>
          </w:p>
        </w:tc>
        <w:tc>
          <w:tcPr>
            <w:tcW w:w="6000" w:type="dxa"/>
            <w:vAlign w:val="center"/>
          </w:tcPr>
          <w:p>
            <w:pPr>
              <w:pStyle w:val=""/>
            </w:pPr>
            <w:r>
              <w:rPr>
                <w:rStyle w:val=""/>
              </w:rPr>
              <w:t xml:space="preserve">117186, г.Москва, ул.Нагорная,31, 4</w:t>
            </w:r>
          </w:p>
        </w:tc>
      </w:tr>
      <w:tr>
        <w:trPr/>
        <w:tc>
          <w:tcPr>
            <w:tcW w:w="4000" w:type="dxa"/>
            <w:vAlign w:val="center"/>
          </w:tcPr>
          <w:p>
            <w:pPr>
              <w:pStyle w:val=""/>
            </w:pPr>
            <w:r>
              <w:rPr>
                <w:rStyle w:val=""/>
              </w:rPr>
              <w:t xml:space="preserve">Номер дела:</w:t>
            </w:r>
          </w:p>
        </w:tc>
        <w:tc>
          <w:tcPr>
            <w:tcW w:w="6000" w:type="dxa"/>
            <w:vAlign w:val="center"/>
          </w:tcPr>
          <w:p>
            <w:pPr>
              <w:pStyle w:val=""/>
            </w:pPr>
            <w:r>
              <w:rPr>
                <w:rStyle w:val=""/>
              </w:rPr>
              <w:t xml:space="preserve">А40-75222/17</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Информация о торгах и лоте</w:t>
            </w:r>
          </w:p>
        </w:tc>
      </w:tr>
      <w:tr>
        <w:trPr/>
        <w:tc>
          <w:tcPr>
            <w:tcW w:w="4000" w:type="dxa"/>
            <w:vAlign w:val="center"/>
          </w:tcPr>
          <w:p>
            <w:pPr>
              <w:pStyle w:val=""/>
            </w:pPr>
            <w:r>
              <w:rPr>
                <w:rStyle w:val=""/>
              </w:rPr>
              <w:t xml:space="preserve">Тип торгов:</w:t>
            </w:r>
          </w:p>
        </w:tc>
        <w:tc>
          <w:tcPr>
            <w:tcW w:w="6000" w:type="dxa"/>
            <w:vAlign w:val="center"/>
          </w:tcPr>
          <w:p>
            <w:pPr>
              <w:pStyle w:val=""/>
            </w:pPr>
            <w:r>
              <w:rPr>
                <w:rStyle w:val=""/>
              </w:rPr>
              <w:t xml:space="preserve">Публичное предложение</w:t>
            </w:r>
          </w:p>
        </w:tc>
      </w:tr>
      <w:tr>
        <w:trPr/>
        <w:tc>
          <w:tcPr>
            <w:tcW w:w="4000" w:type="dxa"/>
            <w:vAlign w:val="center"/>
          </w:tcPr>
          <w:p>
            <w:pPr>
              <w:pStyle w:val=""/>
            </w:pPr>
            <w:r>
              <w:rPr>
                <w:rStyle w:val=""/>
              </w:rPr>
              <w:t xml:space="preserve">Код торгов:</w:t>
            </w:r>
          </w:p>
        </w:tc>
        <w:tc>
          <w:tcPr>
            <w:tcW w:w="6000" w:type="dxa"/>
            <w:vAlign w:val="center"/>
          </w:tcPr>
          <w:p>
            <w:pPr>
              <w:pStyle w:val=""/>
            </w:pPr>
            <w:r>
              <w:rPr>
                <w:rStyle w:val=""/>
              </w:rPr>
              <w:t xml:space="preserve">39578-ОТПП</w:t>
            </w:r>
          </w:p>
        </w:tc>
      </w:tr>
      <w:tr>
        <w:trPr/>
        <w:tc>
          <w:tcPr>
            <w:tcW w:w="4000" w:type="dxa"/>
            <w:vAlign w:val="center"/>
          </w:tcPr>
          <w:p>
            <w:pPr>
              <w:pStyle w:val=""/>
            </w:pPr>
            <w:r>
              <w:rPr>
                <w:rStyle w:val=""/>
              </w:rPr>
              <w:t xml:space="preserve">Дата начала приема заявок:</w:t>
            </w:r>
          </w:p>
        </w:tc>
        <w:tc>
          <w:tcPr>
            <w:tcW w:w="6000" w:type="dxa"/>
            <w:vAlign w:val="center"/>
          </w:tcPr>
          <w:p>
            <w:pPr>
              <w:pStyle w:val=""/>
            </w:pPr>
            <w:r>
              <w:rPr>
                <w:rStyle w:val=""/>
              </w:rPr>
              <w:t xml:space="preserve">20.02.2024 09:00:00</w:t>
            </w:r>
          </w:p>
        </w:tc>
      </w:tr>
      <w:tr>
        <w:trPr/>
        <w:tc>
          <w:tcPr>
            <w:tcW w:w="4000" w:type="dxa"/>
            <w:vAlign w:val="center"/>
          </w:tcPr>
          <w:p>
            <w:pPr>
              <w:pStyle w:val=""/>
            </w:pPr>
            <w:r>
              <w:rPr>
                <w:rStyle w:val=""/>
              </w:rPr>
              <w:t xml:space="preserve">Дата окончания приема заявок:</w:t>
            </w:r>
          </w:p>
        </w:tc>
        <w:tc>
          <w:tcPr>
            <w:tcW w:w="6000" w:type="dxa"/>
            <w:vAlign w:val="center"/>
          </w:tcPr>
          <w:p>
            <w:pPr>
              <w:pStyle w:val=""/>
            </w:pPr>
            <w:r>
              <w:rPr>
                <w:rStyle w:val=""/>
              </w:rPr>
              <w:t xml:space="preserve">23.03.2024 18:00:00</w:t>
            </w:r>
          </w:p>
        </w:tc>
      </w:tr>
      <w:tr>
        <w:trPr/>
        <w:tc>
          <w:tcPr>
            <w:tcW w:w="4000" w:type="dxa"/>
            <w:vAlign w:val="center"/>
          </w:tcPr>
          <w:p>
            <w:pPr>
              <w:pStyle w:val=""/>
            </w:pPr>
            <w:r>
              <w:rPr>
                <w:rStyle w:val=""/>
              </w:rPr>
              <w:t xml:space="preserve">Номер лота:</w:t>
            </w:r>
          </w:p>
        </w:tc>
        <w:tc>
          <w:tcPr>
            <w:tcW w:w="6000" w:type="dxa"/>
            <w:vAlign w:val="center"/>
          </w:tcPr>
          <w:p>
            <w:pPr>
              <w:pStyle w:val=""/>
            </w:pPr>
            <w:r>
              <w:rPr>
                <w:rStyle w:val=""/>
              </w:rPr>
              <w:t xml:space="preserve">65</w:t>
            </w:r>
          </w:p>
        </w:tc>
      </w:tr>
      <w:tr>
        <w:trPr/>
        <w:tc>
          <w:tcPr>
            <w:tcW w:w="4000" w:type="dxa"/>
            <w:vAlign w:val="center"/>
          </w:tcPr>
          <w:p>
            <w:pPr>
              <w:pStyle w:val=""/>
            </w:pPr>
            <w:r>
              <w:rPr>
                <w:rStyle w:val=""/>
              </w:rPr>
              <w:t xml:space="preserve">Сведения об имуществе:</w:t>
            </w:r>
          </w:p>
        </w:tc>
        <w:tc>
          <w:tcPr>
            <w:tcW w:w="6000" w:type="dxa"/>
            <w:vAlign w:val="center"/>
          </w:tcPr>
          <w:p>
            <w:pPr>
              <w:pStyle w:val=""/>
            </w:pPr>
            <w:r>
              <w:rPr>
                <w:rStyle w:val=""/>
              </w:rPr>
              <w:t xml:space="preserve">Лот №65, движимое имущество по адресам: Свердловская область, г. Краснотурьинск, пер. Волчанский, д. 2; Тульская область, Суворовский р-н, г. Суворов, ул. Энергетиков, д. 1 и Свердловская область, г. Екатеринбург, ул. Генеральская, д. 3.	(26 единиц автотранспрта и спец.техники, единым лотом), а именно:		 				 				
1.	НИССАН ИКС-ТРЕЙЛ универсал легковой, 2013г.в., инв.номер: 00-000074, гос.рег.знак: С820НХ 77, заводской или VIN-номер: Z8NTANT31DS084825
2.	Трубоукладчик Komatsu D355 С-3, 1986г.в., инв.номер: 00-000063, гос.рег.знак: 4480 ТВ 66, заводской или VIN-номер: 10891 (сложно идентифицировать)
3.	Трубоукладчик Komatsu D355 С-3, 1988г.в., инв.номер: 00-000064, гос.рег.знак: 8567 СХ 66, заводской или VIN-номер: 11029 (сложно идентифицировать)
4.	Прицеп Вагон-дом на прицеп-шасии, марка 8469.16, инв.номер: 00-000070, гос.рег.знак: 3988 СН 66
5.	Автомобиль специальный 488500, 2005г.в., инв.номер: 00-000044, гос.рег.знак: В968ОА 196, заводской или VIN-номер: X9Y48850060000122
6.	Агрегат передвижной сварочный К704М-АС6-200, 2007 г.в., инв.номер: 00-000065, гос.рег.знак: 3136 ЕА 66 (сложно идентифицировать)
7.	Бульдозер SHANTUI SD 16, 2011 г.в., инв.номер: 00-000062, гос.рег.знак: 1821 СН 66
8.	Грузовой авто тягач седельный КАМАЗ 5410, 1993г.в., инв.номер: 00-000013, гос.рег.знак: Т297СВ 66, заводской или VIN-номер: XTC541000P2038796
9.	Грузовой бортовой ОДАЗ 9385, 1989г.в., инв.номер: 00-000017, гос.рег.знак: АТ6090 66
10.	Полуприцеп бортовой ОДАЗ 9385, 1991г.в., инв.номер: 00-000014, гос.рег.знак: АО3119 66, заводской или VIN-номер: 292179
11.	Экскаватор HITACHI EX-400-5, 2000 г.в., инв.номер: 00-000057, гос.рег.знак: 3124 ЕА 66
12.	Экскаватор HITACHI ZX-330 LC-3, 2010 г.в., инв.номер: 00-000058, гос.рег.знак: 1808 СН 66 (сложно идентифицировать)
13.	Экскаватор HITACHI ZX-330 LC-3, 2010 г.в., инв.номер: 00-000059, гос.рег.знак: 1823 СН 66 (сложно идентифицировать)
14.	НИССАН ТЕАНА седан легковой, 2012г.в., инв.номер: 00-000077, гос.рег.знак: Е696СО 197, заводской или VIN-номер: Z8NВВUJ32СS029677
15.	Автомобиль ФОРД FOCUS, 2010г.в., инв.номер: 00-000072, гос.рег.знак: Р262ВЕ 96, заводской или VIN-номер: Х9FРХХЕЕDРАS67949
16.	ГАЗ-330232 ГРУЗОВОЙ С БОРТОВОЙ ПЛАТФОРМОЙ, 2012г.в., инв.номер: 00-000073, гос.рег.знак: Х203РЕ 96, заводской или VIN-номер: X96330232C0773108
17.	Полуприцеп с бортовой платформой СЗАП 93282, 2006г.в., инв.номер: 00-000011, гос.рег.знак: АТ2552 66, заводской или VIN-номер: X1W93282060000098
18.	Полуприцеп с бортовой платформой МТМ 933004, 2001г.в., инв.номер: 00-000009, гос.рег.знак: АЕ1591 66, заводской или VIN-номер: У3D933004У0003143
19.	Полуприцеп с бортовой платформой СЗАП 9327, 2006г.в., инв.номер: 00-000015, гос.рег.знак: АТ4641 66, заводской или VIN-номер: X1W93270060003378
20.	Полуприцеп ТСП 9416-0000012, 2006г.в., инв.номер: 00-000022, гос.рег.знак: АТ4452 66, заводской или VIN-номер: X899416TO60CT1031
21.	Полуприцеп ТСП 94180000020, 2008г.в., инв.номер: 00-000018, гос.рег.знак: АХ0095 66, заводской или VIN-номер: X8994180A80CT1040
22.	Полуприцеп тяжеловоз ЧМЗАП 99065, 2012г.в., инв.номер: 00-000033, гос.рег.знак: АХ1595 66, заводской или VIN-номер: XTS990650C0000643
23.	Полуприцеп тяжеловоз ЧМЗАП 99065, 2013г.в., инв.номер: 00-000024, гос.рег.знак: АХ2605 66, заводской или VIN-номер: XTS990650D0000678
24.	Прицеп автомобильный Прицеп НЕФАЗ-8332-10, 2006г.в., инв.номер: 00-000045, гос.рег.знак: АТ0847 66, заводской или VIN-номер: X1F83320060004104
25.	Прицеп-роспуск 8803 У, 1995г.в., инв.номер: 00-000026, гос.рег.знак: АМ3041 66, заводской или VIN-номер: -
26.	Прицеп-роспуск трубоплетевозный 9047-0000010-01, 2004г.в., инв.номер: 00-000030, гос.рег.знак: АО0164 66, заводской или VIN-номер: X8990470140CH2027</w:t>
            </w:r>
          </w:p>
        </w:tc>
      </w:tr>
      <w:tr>
        <w:trPr/>
        <w:tc>
          <w:tcPr>
            <w:tcW w:w="4000" w:type="dxa"/>
            <w:vAlign w:val="center"/>
          </w:tcPr>
          <w:p>
            <w:pPr>
              <w:pStyle w:val=""/>
            </w:pPr>
            <w:r>
              <w:rPr>
                <w:rStyle w:val=""/>
              </w:rPr>
              <w:t xml:space="preserve">Стартовая цена продажи имущества:</w:t>
            </w:r>
          </w:p>
        </w:tc>
        <w:tc>
          <w:tcPr>
            <w:tcW w:w="6000" w:type="dxa"/>
            <w:vAlign w:val="center"/>
          </w:tcPr>
          <w:p>
            <w:pPr>
              <w:pStyle w:val=""/>
            </w:pPr>
            <w:r>
              <w:rPr>
                <w:rStyle w:val=""/>
              </w:rPr>
              <w:t xml:space="preserve">35 354 700.00</w:t>
            </w:r>
          </w:p>
        </w:tc>
      </w:tr>
      <w:tr>
        <w:trPr/>
        <w:tc>
          <w:tcPr>
            <w:tcW w:w="4000" w:type="dxa"/>
            <w:vAlign w:val="center"/>
          </w:tcPr>
          <w:p>
            <w:pPr>
              <w:pStyle w:val=""/>
            </w:pPr>
            <w:r>
              <w:rPr>
                <w:rStyle w:val=""/>
              </w:rPr>
              <w:t xml:space="preserve">Порядок и критерии определения победителя торгов:</w:t>
            </w:r>
          </w:p>
        </w:tc>
        <w:tc>
          <w:tcPr>
            <w:tcW w:w="6000" w:type="dxa"/>
            <w:vAlign w:val="center"/>
          </w:tcPr>
          <w:p>
            <w:pPr>
              <w:pStyle w:val=""/>
            </w:pPr>
            <w:r>
              <w:rPr>
                <w:rStyle w:val=""/>
              </w:rPr>
              <w:t xml:space="preserve">Определение участников торгов осуществляется не позднее 5-ти календарных дней после окончания приема заявок каждого периода проведения публичного предложения, в котором имеются заявки на участие в торгах, представленные и не отозванные до окончания срока представления заявок для соответствующего периода проведения торгов. 
При отсутствии в установленный срок заявки на участие в торгах, содержащей предложение о цене имущества должника, которая не ниже установленной начальной цены продажи имущества должника, действующей в конкретный период проведения торгов, снижение начальной цены продажи имущества должника осуществляется в сроки и время, указанные в опубликованном сообщении о продаже имущества должника посредством публичного предложения до достижения минимальной начальной цены («цены отсечения») продажи имущества.
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С даты определения победителя торгов по продаже имущества должника посредством публичного предложения прием заявок прекращается.
Право приобретения имущества должника принадлежит участнику торгов по продаже имущества должника посредством публичного предложения, который своевременно оплатил задаток и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 по продаже имущества должника посредством публичного предложения. 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 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срок заявку на участие в торгах по продаже имущества должника посредством публичного предложения.</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Интервалы снижения для лота</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Начало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Окончание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Задаток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Цена на интервале</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20.02.2024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22.02.2024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3 535 470.00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35 354 700.00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23.02.2024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25.02.2024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3 181 923.00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31 819 230.00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26.02.2024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28.02.2024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2 828 376.00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28 283 760.00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29.02.2024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02.03.2024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2 474 829.00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24 748 290.00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03.03.2024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05.03.2024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2 121 282.00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21 212 820.00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06.03.2024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08.03.2024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1 767 735.00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17 677 350.00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09.03.2024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1 414 188.00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14 141 880.00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14.03.2024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1 060 641.00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10 606 410.00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17.03.2024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707 094.00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7 070 940.00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18.03.2024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353 547.00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3 535 470.00</w:t>
                  </w:r>
                </w:p>
              </w:tc>
            </w:tr>
          </w:tbl>
          <w:p/>
        </w:tc>
      </w:tr>
      <w:tr>
        <w:trPr/>
        <w:tc>
          <w:tcPr>
            <w:tcW w:w="10000" w:type="dxa"/>
            <w:vAlign w:val="center"/>
            <w:gridSpan w:val="2"/>
          </w:tcPr>
          <w:p/>
        </w:tc>
      </w:tr>
      <w:tr>
        <w:trPr/>
        <w:tc>
          <w:tcPr>
            <w:tcW w:w="10000" w:type="dxa"/>
            <w:vAlign w:val="center"/>
            <w:gridSpan w:val="2"/>
          </w:tcPr>
          <w:p>
            <w:pPr>
              <w:pStyle w:val=""/>
            </w:pPr>
            <w:r>
              <w:rPr>
                <w:rStyle w:val="table_header"/>
              </w:rPr>
              <w:t xml:space="preserve">Поданные заявки</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Номер заявки</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Дата подачи заявки</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Заявитель</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Статус заявки</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39578-ОТПП-65-1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14.03.2024 08:13:40.281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ОБЩЕСТВО С ОГРАНИЧЕННОЙ ОТВЕТСТВЕННОСТЬЮ КОНСУЛ (ИНН 7458004747, ОГРН: 1227400037061)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Заявка отклонена
(отсутствует поступление задатка)</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39578-ОТПП-65-3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14.03.2024 17:58:40.243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Шишкин Алексей Викторович (ИНН 666002499694)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Заявка допущена</w:t>
                  </w:r>
                </w:p>
              </w:tc>
            </w:tr>
          </w:tbl>
          <w:p/>
        </w:tc>
      </w:tr>
      <w:tr>
        <w:trPr/>
        <w:tc>
          <w:tcPr>
            <w:tcW w:w="10000" w:type="dxa"/>
            <w:vAlign w:val="center"/>
            <w:gridSpan w:val="2"/>
          </w:tcPr>
          <w:p/>
        </w:tc>
      </w:tr>
    </w:tbl>
    <w:p>
      <w:pPr>
        <w:pStyle w:val=""/>
      </w:pPr>
      <w:r>
        <w:rPr>
          <w:rStyle w:val=""/>
        </w:rPr>
        <w:t xml:space="preserve"/>
      </w:r>
    </w:p>
    <w:p/>
    <w:p/>
    <w:p>
      <w:pPr>
        <w:pStyle w:val=""/>
      </w:pPr>
      <w:r>
        <w:rPr>
          <w:rStyle w:val=""/>
        </w:rPr>
        <w:t xml:space="preserve">Протокол подписан организатором торгов</w:t>
      </w:r>
    </w:p>
    <w:sectPr>
      <w:pgSz w:orient="portrait" w:w="11870" w:h="16787"/>
      <w:pgMar w:top="850" w:right="850" w:bottom="1440" w:left="8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6"/>
        <w:szCs w:val="26"/>
      </w:rPr>
    </w:rPrDefault>
  </w:docDefaults>
  <w:style w:type="paragraph" w:default="1" w:styleId="Normal">
    <w:name w:val="Normal"/>
    <w:pPr>
      <w:jc w:val="left"/>
      <w:ind w:left="0" w:right="0"/>
      <w:spacing w:after="0"/>
    </w:pPr>
  </w:style>
  <w:style w:type="character" w:styleId="FootnoteReference">
    <w:name w:val="Footnote Reference"/>
    <w:semiHidden/>
    <w:unhideWhenUsed/>
    <w:rPr>
      <w:vertAlign w:val="superscript"/>
    </w:rPr>
  </w:style>
  <w:style w:type="paragraph" w:customStyle="1" w:styleId="center">
    <w:name w:val="center"/>
    <w:basedOn w:val="Normal"/>
    <w:pPr>
      <w:jc w:val="center"/>
      <w:spacing w:after="0"/>
    </w:pPr>
  </w:style>
  <w:style w:type="character">
    <w:name w:val="doc_header"/>
    <w:rPr>
      <w:sz w:val="24"/>
      <w:szCs w:val="24"/>
      <w:b/>
      <w:caps/>
    </w:rPr>
  </w:style>
  <w:style w:type="character">
    <w:name w:val="bold"/>
    <w:rPr>
      <w:b/>
    </w:rPr>
  </w:style>
  <w:style w:type="character">
    <w:name w:val="table_header"/>
    <w:rPr>
      <w:color w:val="BE1E2D"/>
    </w:rPr>
  </w:style>
  <w:style w:type="table" w:customStyle="1" w:styleId="noborder">
    <w:name w:val="noborder"/>
    <w:uiPriority w:val="99"/>
    <w:tblPr>
      <w:jc w:val="left"/>
      <w:tblW w:w="100" w:type="auto"/>
      <w:tblCellMar>
        <w:top w:w="10" w:type="dxa"/>
        <w:left w:w="10" w:type="dxa"/>
        <w:right w:w="10" w:type="dxa"/>
        <w:bottom w:w="10" w:type="dxa"/>
      </w:tblCellMar>
    </w:tblPr>
  </w:style>
  <w:style w:type="table" w:customStyle="1" w:styleId="border">
    <w:name w:val="border"/>
    <w:uiPriority w:val="99"/>
    <w:tblPr>
      <w:jc w:val="left"/>
      <w:tblW w:w="100" w:type="auto"/>
      <w:tblCellMar>
        <w:top w:w="50" w:type="dxa"/>
        <w:left w:w="50" w:type="dxa"/>
        <w:right w:w="50" w:type="dxa"/>
        <w:bottom w:w="5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2024-03-14T18:29:53+03:00</dcterms:created>
  <dcterms:modified xsi:type="dcterms:W3CDTF">2024-03-14T18:29:53+03:00</dcterms:modified>
</cp:coreProperties>
</file>

<file path=docProps/custom.xml><?xml version="1.0" encoding="utf-8"?>
<Properties xmlns="http://schemas.openxmlformats.org/officeDocument/2006/custom-properties" xmlns:vt="http://schemas.openxmlformats.org/officeDocument/2006/docPropsVTypes"/>
</file>