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Договор купли-продажи земельн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 участк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г. Малоярославец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«__» _______2026 года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0" w:firstLine="708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708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Индивидуальный предприниматель Диденко Сергей Викторович,_________________________________________________________________________________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в лице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гр. Миронова Вячеслава Александровича,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____________________________________________________________,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действующий на основании доверенности № 77 АД 5213015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от 03 февраля 2024 года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удостоверенной Сиваковой Маргаритой Александровной, временно исполняющей обязанности нотариуса города Москвы Сивакова Александра Васильевича и зарегистрированная в реестре: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№ 77/517-н/77-2024-3-193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Продавец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с одной стороны,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708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гр.________________________________________________________________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Покупатель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с другой стороны, вместе именуемые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Стороны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заключили настоящий договор купли-продажи (далее – Договор) о нижеследующем:</w:t>
      </w:r>
    </w:p>
    <w:p w:rsidR="00000000" w:rsidDel="00000000" w:rsidP="00000000" w:rsidRDefault="00000000" w:rsidRPr="00000000" w14:paraId="00000008">
      <w:pPr>
        <w:ind w:left="0" w:firstLine="708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069" w:hanging="36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Предмет Договора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129" w:hanging="42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Продавец передает Покупател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а Покупател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ь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покупа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ет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у Продавца:</w:t>
      </w:r>
    </w:p>
    <w:p w:rsidR="00000000" w:rsidDel="00000000" w:rsidP="00000000" w:rsidRDefault="00000000" w:rsidRPr="00000000" w14:paraId="0000000B">
      <w:pPr>
        <w:ind w:left="426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     - земельный участок с кадастровым номером 40:13:070708:1221,  площадью 159539 +/- 140  кв.м.,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расположенный по адресу: Местоположение установлено относительно ориентира, расположенного в границах участка. Почтовый адрес ориентира: Российская Федерация, Калужская область, Малоярославецкий муниципальный район, сельское поселение “Село Головтеево”, д. Самсыкино. Категория земель: Земли населенных пунктов, Вид разрешенного использования: Отдельно стоящие жилые дома с количеством этажей не более чем 3, предназначенных для проживания одной семьи(Далее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Земельный участок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).</w:t>
      </w:r>
    </w:p>
    <w:p w:rsidR="00000000" w:rsidDel="00000000" w:rsidP="00000000" w:rsidRDefault="00000000" w:rsidRPr="00000000" w14:paraId="0000000C">
      <w:pPr>
        <w:ind w:left="426" w:firstLine="0"/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174" w:hanging="465"/>
        <w:jc w:val="both"/>
        <w:rPr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Земельный участок принадлежит Продавцу на праве собственности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на основании: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heading=h.ed8e30c5hds0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Договор купли-продажи , № 4,  выдан 19.02.2024.</w:t>
      </w:r>
    </w:p>
    <w:p w:rsidR="00000000" w:rsidDel="00000000" w:rsidP="00000000" w:rsidRDefault="00000000" w:rsidRPr="00000000" w14:paraId="0000000F">
      <w:pPr>
        <w:ind w:left="425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о чем в Едином государственном реестре недвижимости сделана запись регистрации:</w:t>
      </w:r>
    </w:p>
    <w:p w:rsidR="00000000" w:rsidDel="00000000" w:rsidP="00000000" w:rsidRDefault="00000000" w:rsidRPr="00000000" w14:paraId="00000010">
      <w:pPr>
        <w:ind w:left="425" w:firstLine="0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40:13:070708:1221-40/104/2024-1, выдан 12.04.2024</w:t>
      </w:r>
    </w:p>
    <w:p w:rsidR="00000000" w:rsidDel="00000000" w:rsidP="00000000" w:rsidRDefault="00000000" w:rsidRPr="00000000" w14:paraId="00000011">
      <w:pPr>
        <w:ind w:left="-283" w:firstLine="0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069" w:hanging="36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Цена Договора и порядок расчетов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70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2.1. Стоимость земельного участка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__________(_____)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рублей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00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копеек. </w:t>
      </w:r>
    </w:p>
    <w:p w:rsidR="00000000" w:rsidDel="00000000" w:rsidP="00000000" w:rsidRDefault="00000000" w:rsidRPr="00000000" w14:paraId="00000014">
      <w:pPr>
        <w:spacing w:line="276" w:lineRule="auto"/>
        <w:ind w:left="0" w:firstLine="285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Цена является окончательной и изменению не подлежит. </w:t>
      </w:r>
    </w:p>
    <w:p w:rsidR="00000000" w:rsidDel="00000000" w:rsidP="00000000" w:rsidRDefault="00000000" w:rsidRPr="00000000" w14:paraId="00000015">
      <w:pPr>
        <w:ind w:left="566.9291338582675" w:hanging="566.929133858267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2.2..  Задаток, уплаченный Покупателем Продавцу на основании Договора о задатке по лоту №____от ________.2026 г., в размере __________ (______________) рублей 00 копеек, засчитывается в счет исполнения Покупателем обязанности по оплате Земельного участка. </w:t>
      </w:r>
    </w:p>
    <w:p w:rsidR="00000000" w:rsidDel="00000000" w:rsidP="00000000" w:rsidRDefault="00000000" w:rsidRPr="00000000" w14:paraId="00000016">
      <w:pPr>
        <w:ind w:left="566.9291338582675" w:hanging="566.9291338582675"/>
        <w:jc w:val="both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2.3 Оплата Земельного участка, оставшейся части в размере ______________ (_________________) рубля __ копеек, осуществляется Покупателем путём перевода на расчётный счета Продавца, в течение 10 календарных дней со дня подписания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349.00000000000006"/>
        <w:jc w:val="both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2.7. Датой исполнения обязанности Покупателя об оплате стоимости Земельного участка является дата поступления денежных средств на счет Продавца по реквизитам указанным в п.2.8.</w:t>
      </w:r>
    </w:p>
    <w:p w:rsidR="00000000" w:rsidDel="00000000" w:rsidP="00000000" w:rsidRDefault="00000000" w:rsidRPr="00000000" w14:paraId="00000018">
      <w:pPr>
        <w:ind w:left="360" w:firstLine="349.00000000000006"/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2.8.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Перечисление денежных средств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highlight w:val="white"/>
          <w:rtl w:val="0"/>
        </w:rPr>
        <w:t xml:space="preserve">Продавцу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 в счет оплаты Земельного участка осуществляется  по следующим реквизитам: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709"/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firstLine="708.6614173228347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Наименование: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Индивидуальный предприниматель Диденко Сергей Викторович</w:t>
      </w:r>
    </w:p>
    <w:p w:rsidR="00000000" w:rsidDel="00000000" w:rsidP="00000000" w:rsidRDefault="00000000" w:rsidRPr="00000000" w14:paraId="0000001C">
      <w:pPr>
        <w:widowControl w:val="0"/>
        <w:ind w:firstLine="709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ИНН: 402900984249</w:t>
      </w:r>
    </w:p>
    <w:p w:rsidR="00000000" w:rsidDel="00000000" w:rsidP="00000000" w:rsidRDefault="00000000" w:rsidRPr="00000000" w14:paraId="0000001D">
      <w:pPr>
        <w:widowControl w:val="0"/>
        <w:ind w:firstLine="709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ОГРНИП: 323774600311641</w:t>
      </w:r>
    </w:p>
    <w:p w:rsidR="00000000" w:rsidDel="00000000" w:rsidP="00000000" w:rsidRDefault="00000000" w:rsidRPr="00000000" w14:paraId="0000001E">
      <w:pPr>
        <w:widowControl w:val="0"/>
        <w:ind w:firstLine="709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Расчетный счет: 40802810602680004774</w:t>
      </w:r>
    </w:p>
    <w:p w:rsidR="00000000" w:rsidDel="00000000" w:rsidP="00000000" w:rsidRDefault="00000000" w:rsidRPr="00000000" w14:paraId="0000001F">
      <w:pPr>
        <w:widowControl w:val="0"/>
        <w:ind w:firstLine="709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Наименование банка: АО «Альфабанк»</w:t>
      </w:r>
    </w:p>
    <w:p w:rsidR="00000000" w:rsidDel="00000000" w:rsidP="00000000" w:rsidRDefault="00000000" w:rsidRPr="00000000" w14:paraId="00000020">
      <w:pPr>
        <w:widowControl w:val="0"/>
        <w:ind w:firstLine="709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БИК: 044525593</w:t>
      </w:r>
    </w:p>
    <w:p w:rsidR="00000000" w:rsidDel="00000000" w:rsidP="00000000" w:rsidRDefault="00000000" w:rsidRPr="00000000" w14:paraId="00000021">
      <w:pPr>
        <w:widowControl w:val="0"/>
        <w:ind w:firstLine="709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Кор. Счет: 30101810200000000593</w:t>
      </w:r>
    </w:p>
    <w:p w:rsidR="00000000" w:rsidDel="00000000" w:rsidP="00000000" w:rsidRDefault="00000000" w:rsidRPr="00000000" w14:paraId="00000022">
      <w:pPr>
        <w:widowControl w:val="0"/>
        <w:ind w:firstLine="709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ind w:left="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1069" w:hanging="36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Существенные условия Договора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09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Покупатель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приобретает право собственности на Земельный участок с момента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государственной регистрации перехода права собственности в установленном законом порядке.</w:t>
      </w:r>
    </w:p>
    <w:p w:rsidR="00000000" w:rsidDel="00000000" w:rsidP="00000000" w:rsidRDefault="00000000" w:rsidRPr="00000000" w14:paraId="00000026">
      <w:pPr>
        <w:ind w:left="0"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3.2. Право залога у Продавца на Земельный участок не возникает в соответствии с пунктом 5 статьи 488 Гражданского кодекса Российской Федерации. </w:t>
      </w:r>
    </w:p>
    <w:p w:rsidR="00000000" w:rsidDel="00000000" w:rsidP="00000000" w:rsidRDefault="00000000" w:rsidRPr="00000000" w14:paraId="00000027">
      <w:pPr>
        <w:ind w:left="0"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3.3. Покупатель осмотрел Земельный участок и претензий по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качеству не имеет. Продавец обязуется передать Земельный учас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ок в том состоянии, в каком они име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ются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на день подписания Договора. </w:t>
      </w:r>
    </w:p>
    <w:p w:rsidR="00000000" w:rsidDel="00000000" w:rsidP="00000000" w:rsidRDefault="00000000" w:rsidRPr="00000000" w14:paraId="00000028">
      <w:pPr>
        <w:ind w:left="0"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3.4. Согласно ст. 556 Гражданского кодекса РФ,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Стороны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пришли к соглашению о том, что настоящий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Договор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имеет силу акта приема-передачи и является документом, подтверждающим передачу и прием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Земельного участк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а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Продавца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Покупателю.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left="0"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3.5. Продавец гарантирует, что на момент подписания Договора является полноправным и законным собственником Земельного участк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Земельный участок не отчужден, не заложен, в споре и под арестом не сост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ит, в аренду не сдан, не обременен правами третьих лиц, право собственности Продавца никем не оспаривается. </w:t>
      </w:r>
    </w:p>
    <w:p w:rsidR="00000000" w:rsidDel="00000000" w:rsidP="00000000" w:rsidRDefault="00000000" w:rsidRPr="00000000" w14:paraId="0000002A">
      <w:pPr>
        <w:ind w:left="0"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4. Заключительные положения.</w:t>
      </w:r>
    </w:p>
    <w:p w:rsidR="00000000" w:rsidDel="00000000" w:rsidP="00000000" w:rsidRDefault="00000000" w:rsidRPr="00000000" w14:paraId="0000002B">
      <w:pPr>
        <w:ind w:left="0"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4.1.  Стороны заключают Договор добровольно, не вследствие стечения тяжелых обстоятельств или на крайне невыгодных для себя условиях, Договор не является для Сторон кабальной сделкой. Стороны подтверждают, что они в дееспособности не ограничены; под опекой, попечительством, а также патронажем не состоят; по состоянию здоровья могут самостоятельно осуществлять и защищать свои права и исполнять обязанности; не страдают заболеваниями, препятствующими осознавать суть подписываемого Договора и обстоятельств его заключения.</w:t>
      </w:r>
    </w:p>
    <w:p w:rsidR="00000000" w:rsidDel="00000000" w:rsidP="00000000" w:rsidRDefault="00000000" w:rsidRPr="00000000" w14:paraId="0000002C">
      <w:pPr>
        <w:ind w:left="0"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4.2. Содержание сделки, ее последствия, ответственность, права и обязанности, содержание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статей 131, 160, 161, 164, 209, 421, 450, 460, 461, 549, 551, 556, 557 Гражданского кодекса Российской Федерации Сторонам известны и понятны.</w:t>
      </w:r>
    </w:p>
    <w:p w:rsidR="00000000" w:rsidDel="00000000" w:rsidP="00000000" w:rsidRDefault="00000000" w:rsidRPr="00000000" w14:paraId="0000002D">
      <w:pPr>
        <w:ind w:left="0" w:firstLine="72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4.3.   Расходы, связанные с заключением Договора несет Покупатель.</w:t>
      </w:r>
    </w:p>
    <w:p w:rsidR="00000000" w:rsidDel="00000000" w:rsidP="00000000" w:rsidRDefault="00000000" w:rsidRPr="00000000" w14:paraId="0000002E">
      <w:pPr>
        <w:ind w:left="0" w:firstLine="54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  <w:tab/>
        <w:t xml:space="preserve">4.4.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Настоящий Договор составлен и подписан после прочтения текста в 2 (двух) экземплярах, имеющих равную юридическую силу, один Продавцу и один Покупателю.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3600" w:firstLine="708.9999999999998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5. Подписи Сторон: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Продавец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2"/>
          <w:szCs w:val="22"/>
          <w:u w:val="single"/>
          <w:rtl w:val="0"/>
        </w:rPr>
        <w:t xml:space="preserve">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Покупатель 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2"/>
          <w:szCs w:val="22"/>
          <w:u w:val="single"/>
          <w:rtl w:val="0"/>
        </w:rPr>
        <w:t xml:space="preserve">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426" w:left="993" w:right="850" w:header="142" w:footer="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XO Tha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b w:val="1"/>
        <w:bCs w:val="1"/>
      </w:rPr>
    </w:lvl>
    <w:lvl w:ilvl="1">
      <w:start w:val="2"/>
      <w:numFmt w:val="decimal"/>
      <w:lvlText w:val="%1.%2."/>
      <w:lvlJc w:val="left"/>
      <w:pPr>
        <w:ind w:left="1174" w:hanging="465"/>
      </w:pPr>
      <w:rPr>
        <w:rFonts w:ascii="Times New Roman" w:cs="Times New Roman" w:eastAsia="Times New Roman" w:hAnsi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b w:val="0"/>
        <w:bCs w:val="0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420"/>
      </w:pPr>
      <w:rPr/>
    </w:lvl>
    <w:lvl w:ilvl="1">
      <w:start w:val="1"/>
      <w:numFmt w:val="decimal"/>
      <w:lvlText w:val="%1.%2."/>
      <w:lvlJc w:val="left"/>
      <w:pPr>
        <w:ind w:left="1129" w:hanging="420"/>
      </w:pPr>
      <w:rPr/>
    </w:lvl>
    <w:lvl w:ilvl="2">
      <w:start w:val="1"/>
      <w:numFmt w:val="decimal"/>
      <w:lvlText w:val="%1.%2.%3."/>
      <w:lvlJc w:val="left"/>
      <w:pPr>
        <w:ind w:left="2138" w:hanging="720"/>
      </w:pPr>
      <w:rPr/>
    </w:lvl>
    <w:lvl w:ilvl="3">
      <w:start w:val="1"/>
      <w:numFmt w:val="decimal"/>
      <w:lvlText w:val="%1.%2.%3.%4."/>
      <w:lvlJc w:val="left"/>
      <w:pPr>
        <w:ind w:left="2847" w:hanging="720"/>
      </w:pPr>
      <w:rPr/>
    </w:lvl>
    <w:lvl w:ilvl="4">
      <w:start w:val="1"/>
      <w:numFmt w:val="decimal"/>
      <w:lvlText w:val="%1.%2.%3.%4.%5."/>
      <w:lvlJc w:val="left"/>
      <w:pPr>
        <w:ind w:left="3916" w:hanging="1080"/>
      </w:pPr>
      <w:rPr/>
    </w:lvl>
    <w:lvl w:ilvl="5">
      <w:start w:val="1"/>
      <w:numFmt w:val="decimal"/>
      <w:lvlText w:val="%1.%2.%3.%4.%5.%6."/>
      <w:lvlJc w:val="left"/>
      <w:pPr>
        <w:ind w:left="4625" w:hanging="1080"/>
      </w:pPr>
      <w:rPr/>
    </w:lvl>
    <w:lvl w:ilvl="6">
      <w:start w:val="1"/>
      <w:numFmt w:val="decimal"/>
      <w:lvlText w:val="%1.%2.%3.%4.%5.%6.%7."/>
      <w:lvlJc w:val="left"/>
      <w:pPr>
        <w:ind w:left="5694" w:hanging="1440"/>
      </w:pPr>
      <w:rPr/>
    </w:lvl>
    <w:lvl w:ilvl="7">
      <w:start w:val="1"/>
      <w:numFmt w:val="decimal"/>
      <w:lvlText w:val="%1.%2.%3.%4.%5.%6.%7.%8."/>
      <w:lvlJc w:val="left"/>
      <w:pPr>
        <w:ind w:left="6403" w:hanging="1440"/>
      </w:pPr>
      <w:rPr/>
    </w:lvl>
    <w:lvl w:ilvl="8">
      <w:start w:val="1"/>
      <w:numFmt w:val="decimal"/>
      <w:lvlText w:val="%1.%2.%3.%4.%5.%6.%7.%8.%9."/>
      <w:lvlJc w:val="left"/>
      <w:pPr>
        <w:ind w:left="7472" w:hanging="180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XO Thames" w:cs="XO Thames" w:eastAsia="XO Thames" w:hAnsi="XO Thames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120" w:before="480" w:line="240" w:lineRule="auto"/>
      <w:ind w:left="0" w:right="0" w:firstLine="0"/>
      <w:jc w:val="left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48"/>
      <w:szCs w:val="48"/>
      <w:u w:val="no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80" w:before="280" w:line="240" w:lineRule="auto"/>
      <w:ind w:left="0" w:right="0" w:firstLine="0"/>
      <w:jc w:val="left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28"/>
      <w:szCs w:val="2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120" w:before="480" w:line="240" w:lineRule="auto"/>
      <w:ind w:left="0" w:right="0" w:firstLine="0"/>
      <w:jc w:val="left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48"/>
      <w:szCs w:val="48"/>
      <w:u w:val="no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80" w:before="280" w:line="240" w:lineRule="auto"/>
      <w:ind w:left="0" w:right="0" w:firstLine="0"/>
      <w:jc w:val="left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8"/>
      <w:szCs w:val="2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120" w:before="480" w:line="240" w:lineRule="auto"/>
      <w:ind w:left="0" w:right="0" w:firstLine="0"/>
      <w:jc w:val="left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48"/>
      <w:szCs w:val="48"/>
      <w:u w:val="no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80" w:before="280" w:line="240" w:lineRule="auto"/>
      <w:ind w:left="0" w:right="0" w:firstLine="0"/>
      <w:jc w:val="left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8"/>
      <w:szCs w:val="2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yle_1" w:default="1">
    <w:name w:val="Normal"/>
    <w:link w:val="Style_1_ch"/>
    <w:uiPriority w:val="0"/>
    <w:qFormat w:val="1"/>
  </w:style>
  <w:style w:type="character" w:styleId="Style_1_ch" w:default="1">
    <w:name w:val="Normal"/>
    <w:link w:val="Style_1"/>
  </w:style>
  <w:style w:type="paragraph" w:styleId="Style_2">
    <w:name w:val="toc 2"/>
    <w:next w:val="Style_1"/>
    <w:link w:val="Style_2_ch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Style_2_ch">
    <w:name w:val="toc 2"/>
    <w:link w:val="Style_2"/>
    <w:rPr>
      <w:rFonts w:ascii="XO Thames" w:hAnsi="XO Thames"/>
      <w:sz w:val="28"/>
    </w:rPr>
  </w:style>
  <w:style w:type="paragraph" w:styleId="Style_3">
    <w:name w:val="toc 4"/>
    <w:next w:val="Style_1"/>
    <w:link w:val="Style_3_ch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Style_3_ch">
    <w:name w:val="toc 4"/>
    <w:link w:val="Style_3"/>
    <w:rPr>
      <w:rFonts w:ascii="XO Thames" w:hAnsi="XO Thames"/>
      <w:sz w:val="28"/>
    </w:rPr>
  </w:style>
  <w:style w:type="paragraph" w:styleId="Style_4">
    <w:name w:val="toc 6"/>
    <w:next w:val="Style_1"/>
    <w:link w:val="Style_4_ch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Style_4_ch">
    <w:name w:val="toc 6"/>
    <w:link w:val="Style_4"/>
    <w:rPr>
      <w:rFonts w:ascii="XO Thames" w:hAnsi="XO Thames"/>
      <w:sz w:val="28"/>
    </w:rPr>
  </w:style>
  <w:style w:type="paragraph" w:styleId="Style_5">
    <w:name w:val="toc 7"/>
    <w:next w:val="Style_1"/>
    <w:link w:val="Style_5_ch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Style_5_ch">
    <w:name w:val="toc 7"/>
    <w:link w:val="Style_5"/>
    <w:rPr>
      <w:rFonts w:ascii="XO Thames" w:hAnsi="XO Thames"/>
      <w:sz w:val="28"/>
    </w:rPr>
  </w:style>
  <w:style w:type="paragraph" w:styleId="Style_6">
    <w:name w:val="Endnote"/>
    <w:link w:val="Style_6_ch"/>
    <w:pPr>
      <w:ind w:left="0" w:firstLine="851"/>
      <w:jc w:val="both"/>
    </w:pPr>
    <w:rPr>
      <w:rFonts w:ascii="XO Thames" w:hAnsi="XO Thames"/>
      <w:sz w:val="22"/>
    </w:rPr>
  </w:style>
  <w:style w:type="character" w:styleId="Style_6_ch">
    <w:name w:val="Endnote"/>
    <w:link w:val="Style_6"/>
    <w:rPr>
      <w:rFonts w:ascii="XO Thames" w:hAnsi="XO Thames"/>
      <w:sz w:val="22"/>
    </w:rPr>
  </w:style>
  <w:style w:type="paragraph" w:styleId="Style_7">
    <w:name w:val="heading 3"/>
    <w:basedOn w:val="Style_1"/>
    <w:next w:val="Style_1"/>
    <w:link w:val="Style_7_ch"/>
    <w:uiPriority w:val="9"/>
    <w:qFormat w:val="1"/>
    <w:pPr>
      <w:keepNext w:val="1"/>
      <w:keepLines w:val="1"/>
      <w:pageBreakBefore w:val="0"/>
      <w:widowControl w:val="1"/>
      <w:spacing w:after="80" w:before="280" w:line="240" w:lineRule="auto"/>
      <w:ind w:left="0" w:right="0" w:firstLine="0"/>
      <w:jc w:val="left"/>
      <w:outlineLvl w:val="2"/>
    </w:pPr>
    <w:rPr>
      <w:rFonts w:ascii="XO Thames" w:hAnsi="XO Thames"/>
      <w:b w:val="1"/>
      <w:i w:val="0"/>
      <w:smallCaps w:val="0"/>
      <w:strike w:val="0"/>
      <w:color w:val="000000"/>
      <w:sz w:val="28"/>
      <w:u w:val="none"/>
    </w:rPr>
  </w:style>
  <w:style w:type="character" w:styleId="Style_7_ch">
    <w:name w:val="heading 3"/>
    <w:basedOn w:val="Style_1_ch"/>
    <w:link w:val="Style_7"/>
    <w:rPr>
      <w:rFonts w:ascii="XO Thames" w:hAnsi="XO Thames"/>
      <w:b w:val="1"/>
      <w:i w:val="0"/>
      <w:smallCaps w:val="0"/>
      <w:strike w:val="0"/>
      <w:color w:val="000000"/>
      <w:sz w:val="28"/>
      <w:u w:val="none"/>
    </w:rPr>
  </w:style>
  <w:style w:type="paragraph" w:styleId="Style_8">
    <w:name w:val="toc 3"/>
    <w:next w:val="Style_1"/>
    <w:link w:val="Style_8_ch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Style_8_ch">
    <w:name w:val="toc 3"/>
    <w:link w:val="Style_8"/>
    <w:rPr>
      <w:rFonts w:ascii="XO Thames" w:hAnsi="XO Thames"/>
      <w:sz w:val="28"/>
    </w:rPr>
  </w:style>
  <w:style w:type="paragraph" w:styleId="Style_9">
    <w:name w:val="heading 5"/>
    <w:basedOn w:val="Style_1"/>
    <w:next w:val="Style_1"/>
    <w:link w:val="Style_9_ch"/>
    <w:uiPriority w:val="9"/>
    <w:qFormat w:val="1"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type="character" w:styleId="Style_9_ch">
    <w:name w:val="heading 5"/>
    <w:basedOn w:val="Style_1_ch"/>
    <w:link w:val="Style_9"/>
    <w:rPr>
      <w:b w:val="1"/>
      <w:sz w:val="22"/>
    </w:rPr>
  </w:style>
  <w:style w:type="paragraph" w:styleId="Style_10">
    <w:name w:val="heading 1"/>
    <w:basedOn w:val="Style_1"/>
    <w:next w:val="Style_1"/>
    <w:link w:val="Style_10_ch"/>
    <w:uiPriority w:val="9"/>
    <w:qFormat w:val="1"/>
    <w:pPr>
      <w:keepNext w:val="1"/>
      <w:keepLines w:val="1"/>
      <w:pageBreakBefore w:val="0"/>
      <w:widowControl w:val="1"/>
      <w:spacing w:after="120" w:before="480" w:line="240" w:lineRule="auto"/>
      <w:ind w:left="0" w:right="0" w:firstLine="0"/>
      <w:jc w:val="left"/>
      <w:outlineLvl w:val="0"/>
    </w:pPr>
    <w:rPr>
      <w:rFonts w:ascii="XO Thames" w:hAnsi="XO Thames"/>
      <w:b w:val="1"/>
      <w:i w:val="0"/>
      <w:smallCaps w:val="0"/>
      <w:strike w:val="0"/>
      <w:color w:val="000000"/>
      <w:sz w:val="48"/>
      <w:u w:val="none"/>
    </w:rPr>
  </w:style>
  <w:style w:type="character" w:styleId="Style_10_ch">
    <w:name w:val="heading 1"/>
    <w:basedOn w:val="Style_1_ch"/>
    <w:link w:val="Style_10"/>
    <w:rPr>
      <w:rFonts w:ascii="XO Thames" w:hAnsi="XO Thames"/>
      <w:b w:val="1"/>
      <w:i w:val="0"/>
      <w:smallCaps w:val="0"/>
      <w:strike w:val="0"/>
      <w:color w:val="000000"/>
      <w:sz w:val="48"/>
      <w:u w:val="none"/>
    </w:rPr>
  </w:style>
  <w:style w:type="paragraph" w:styleId="Style_11">
    <w:name w:val="Hyperlink"/>
    <w:link w:val="Style_11_ch"/>
    <w:rPr>
      <w:color w:val="0000ff"/>
      <w:u w:val="single"/>
    </w:rPr>
  </w:style>
  <w:style w:type="character" w:styleId="Style_11_ch">
    <w:name w:val="Hyperlink"/>
    <w:link w:val="Style_11"/>
    <w:rPr>
      <w:color w:val="0000ff"/>
      <w:u w:val="single"/>
    </w:rPr>
  </w:style>
  <w:style w:type="paragraph" w:styleId="Style_12">
    <w:name w:val="Footnote"/>
    <w:link w:val="Style_12_ch"/>
    <w:pPr>
      <w:ind w:left="0" w:firstLine="851"/>
      <w:jc w:val="both"/>
    </w:pPr>
    <w:rPr>
      <w:rFonts w:ascii="XO Thames" w:hAnsi="XO Thames"/>
      <w:sz w:val="22"/>
    </w:rPr>
  </w:style>
  <w:style w:type="character" w:styleId="Style_12_ch">
    <w:name w:val="Footnote"/>
    <w:link w:val="Style_12"/>
    <w:rPr>
      <w:rFonts w:ascii="XO Thames" w:hAnsi="XO Thames"/>
      <w:sz w:val="22"/>
    </w:rPr>
  </w:style>
  <w:style w:type="paragraph" w:styleId="Style_13">
    <w:name w:val="toc 1"/>
    <w:next w:val="Style_1"/>
    <w:link w:val="Style_13_ch"/>
    <w:uiPriority w:val="39"/>
    <w:pPr>
      <w:ind w:left="0" w:firstLine="0"/>
      <w:jc w:val="left"/>
    </w:pPr>
    <w:rPr>
      <w:rFonts w:ascii="XO Thames" w:hAnsi="XO Thames"/>
      <w:b w:val="1"/>
      <w:sz w:val="28"/>
    </w:rPr>
  </w:style>
  <w:style w:type="character" w:styleId="Style_13_ch">
    <w:name w:val="toc 1"/>
    <w:link w:val="Style_13"/>
    <w:rPr>
      <w:rFonts w:ascii="XO Thames" w:hAnsi="XO Thames"/>
      <w:b w:val="1"/>
      <w:sz w:val="28"/>
    </w:rPr>
  </w:style>
  <w:style w:type="paragraph" w:styleId="Style_14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type="character" w:styleId="Style_14_ch">
    <w:name w:val="Header and Footer"/>
    <w:link w:val="Style_14"/>
    <w:rPr>
      <w:rFonts w:ascii="XO Thames" w:hAnsi="XO Thames"/>
      <w:sz w:val="28"/>
    </w:rPr>
  </w:style>
  <w:style w:type="paragraph" w:styleId="Style_15">
    <w:name w:val="toc 9"/>
    <w:next w:val="Style_1"/>
    <w:link w:val="Style_15_ch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Style_15_ch">
    <w:name w:val="toc 9"/>
    <w:link w:val="Style_15"/>
    <w:rPr>
      <w:rFonts w:ascii="XO Thames" w:hAnsi="XO Thames"/>
      <w:sz w:val="28"/>
    </w:rPr>
  </w:style>
  <w:style w:type="paragraph" w:styleId="Style_16">
    <w:name w:val="toc 8"/>
    <w:next w:val="Style_1"/>
    <w:link w:val="Style_16_ch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Style_16_ch">
    <w:name w:val="toc 8"/>
    <w:link w:val="Style_16"/>
    <w:rPr>
      <w:rFonts w:ascii="XO Thames" w:hAnsi="XO Thames"/>
      <w:sz w:val="28"/>
    </w:rPr>
  </w:style>
  <w:style w:type="paragraph" w:styleId="Style_17">
    <w:name w:val="toc 5"/>
    <w:next w:val="Style_1"/>
    <w:link w:val="Style_17_ch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Style_17_ch">
    <w:name w:val="toc 5"/>
    <w:link w:val="Style_17"/>
    <w:rPr>
      <w:rFonts w:ascii="XO Thames" w:hAnsi="XO Thames"/>
      <w:sz w:val="28"/>
    </w:rPr>
  </w:style>
  <w:style w:type="paragraph" w:styleId="Style_18">
    <w:name w:val="Subtitle"/>
    <w:basedOn w:val="Style_1"/>
    <w:next w:val="Style_1"/>
    <w:link w:val="Style_18_ch"/>
    <w:uiPriority w:val="11"/>
    <w:qFormat w:val="1"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type="character" w:styleId="Style_18_ch">
    <w:name w:val="Subtitle"/>
    <w:basedOn w:val="Style_1_ch"/>
    <w:link w:val="Style_18"/>
    <w:rPr>
      <w:rFonts w:ascii="Georgia" w:hAnsi="Georgia"/>
      <w:i w:val="1"/>
      <w:color w:val="666666"/>
      <w:sz w:val="48"/>
    </w:rPr>
  </w:style>
  <w:style w:type="paragraph" w:styleId="Style_19">
    <w:name w:val="Title"/>
    <w:basedOn w:val="Style_1"/>
    <w:next w:val="Style_1"/>
    <w:link w:val="Style_19_ch"/>
    <w:uiPriority w:val="10"/>
    <w:qFormat w:val="1"/>
    <w:pPr>
      <w:keepNext w:val="1"/>
      <w:keepLines w:val="1"/>
      <w:spacing w:after="120" w:before="480"/>
      <w:ind/>
    </w:pPr>
    <w:rPr>
      <w:b w:val="1"/>
      <w:sz w:val="72"/>
    </w:rPr>
  </w:style>
  <w:style w:type="character" w:styleId="Style_19_ch">
    <w:name w:val="Title"/>
    <w:basedOn w:val="Style_1_ch"/>
    <w:link w:val="Style_19"/>
    <w:rPr>
      <w:b w:val="1"/>
      <w:sz w:val="72"/>
    </w:rPr>
  </w:style>
  <w:style w:type="paragraph" w:styleId="Style_20">
    <w:name w:val="heading 4"/>
    <w:basedOn w:val="Style_1"/>
    <w:next w:val="Style_1"/>
    <w:link w:val="Style_20_ch"/>
    <w:uiPriority w:val="9"/>
    <w:qFormat w:val="1"/>
    <w:pPr>
      <w:keepNext w:val="1"/>
      <w:keepLines w:val="1"/>
      <w:spacing w:after="40" w:before="240"/>
      <w:ind/>
      <w:outlineLvl w:val="3"/>
    </w:pPr>
    <w:rPr>
      <w:b w:val="1"/>
    </w:rPr>
  </w:style>
  <w:style w:type="character" w:styleId="Style_20_ch">
    <w:name w:val="heading 4"/>
    <w:basedOn w:val="Style_1_ch"/>
    <w:link w:val="Style_20"/>
    <w:rPr>
      <w:b w:val="1"/>
    </w:rPr>
  </w:style>
  <w:style w:type="paragraph" w:styleId="Style_21">
    <w:name w:val="heading 2"/>
    <w:basedOn w:val="Style_1"/>
    <w:next w:val="Style_1"/>
    <w:link w:val="Style_21_ch"/>
    <w:uiPriority w:val="9"/>
    <w:qFormat w:val="1"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type="character" w:styleId="Style_21_ch">
    <w:name w:val="heading 2"/>
    <w:basedOn w:val="Style_1_ch"/>
    <w:link w:val="Style_21"/>
    <w:rPr>
      <w:b w:val="1"/>
      <w:sz w:val="36"/>
    </w:rPr>
  </w:style>
  <w:style w:type="paragraph" w:styleId="Style_22">
    <w:name w:val="heading 6"/>
    <w:basedOn w:val="Style_1"/>
    <w:next w:val="Style_1"/>
    <w:link w:val="Style_22_ch"/>
    <w:uiPriority w:val="9"/>
    <w:qFormat w:val="1"/>
    <w:pPr>
      <w:keepNext w:val="1"/>
      <w:keepLines w:val="1"/>
      <w:spacing w:after="40" w:before="200"/>
      <w:ind/>
      <w:outlineLvl w:val="5"/>
    </w:pPr>
    <w:rPr>
      <w:b w:val="1"/>
      <w:sz w:val="20"/>
    </w:rPr>
  </w:style>
  <w:style w:type="character" w:styleId="Style_22_ch">
    <w:name w:val="heading 6"/>
    <w:basedOn w:val="Style_1_ch"/>
    <w:link w:val="Style_22"/>
    <w:rPr>
      <w:b w:val="1"/>
      <w:sz w:val="20"/>
    </w:rPr>
  </w:style>
  <w:style w:type="table" w:styleId="Style_23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bXyIIlOHW+j09Gs7zSZzYF5RDw==">CgMxLjAyCWguMzBqMHpsbDIOaC5lZDhlMzBjNWhkczAyCGguZ2pkZ3hzOAByITF3eHVtaXExYkUtcDhNRVU0ZFVobkpyY1lwa0V1YkdrZw==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