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A6" w:rsidRPr="00CF3671" w:rsidRDefault="00EC0BA6" w:rsidP="00EC0BA6">
      <w:pPr>
        <w:ind w:left="2124" w:right="-57" w:firstLine="708"/>
        <w:jc w:val="center"/>
        <w:rPr>
          <w:b/>
          <w:sz w:val="20"/>
          <w:szCs w:val="20"/>
        </w:rPr>
      </w:pPr>
      <w:r>
        <w:rPr>
          <w:b/>
          <w:sz w:val="20"/>
          <w:szCs w:val="20"/>
        </w:rPr>
        <w:t xml:space="preserve">                                                                                                   </w:t>
      </w:r>
      <w:r w:rsidRPr="00CF3671">
        <w:rPr>
          <w:b/>
          <w:sz w:val="20"/>
          <w:szCs w:val="20"/>
        </w:rPr>
        <w:t xml:space="preserve">Приложение № </w:t>
      </w:r>
      <w:r>
        <w:rPr>
          <w:b/>
          <w:sz w:val="20"/>
          <w:szCs w:val="20"/>
        </w:rPr>
        <w:t>3</w:t>
      </w:r>
    </w:p>
    <w:p w:rsidR="00EC0BA6" w:rsidRPr="00357935" w:rsidRDefault="00EC0BA6" w:rsidP="00EC0BA6">
      <w:pPr>
        <w:snapToGrid w:val="0"/>
        <w:ind w:left="4536"/>
        <w:contextualSpacing/>
        <w:jc w:val="right"/>
        <w:rPr>
          <w:bCs/>
          <w:sz w:val="20"/>
          <w:szCs w:val="20"/>
        </w:rPr>
      </w:pPr>
      <w:r w:rsidRPr="00357935">
        <w:rPr>
          <w:sz w:val="20"/>
          <w:szCs w:val="20"/>
        </w:rPr>
        <w:t xml:space="preserve">к Договору </w:t>
      </w:r>
      <w:r w:rsidRPr="00357935">
        <w:rPr>
          <w:bCs/>
          <w:sz w:val="20"/>
          <w:szCs w:val="20"/>
        </w:rPr>
        <w:t xml:space="preserve">купли-продажи </w:t>
      </w:r>
    </w:p>
    <w:p w:rsidR="00EC0BA6" w:rsidRPr="00E93915" w:rsidRDefault="00EC0BA6" w:rsidP="00EC0BA6">
      <w:pPr>
        <w:jc w:val="right"/>
        <w:rPr>
          <w:sz w:val="20"/>
          <w:szCs w:val="20"/>
        </w:rPr>
      </w:pPr>
      <w:r w:rsidRPr="00E93915">
        <w:rPr>
          <w:sz w:val="20"/>
          <w:szCs w:val="20"/>
        </w:rPr>
        <w:t>№ ____________ от _________________</w:t>
      </w:r>
    </w:p>
    <w:p w:rsidR="00EC0BA6" w:rsidRPr="00CF3671" w:rsidRDefault="00EC0BA6" w:rsidP="00EC0BA6">
      <w:pPr>
        <w:jc w:val="center"/>
        <w:rPr>
          <w:rFonts w:eastAsia="Calibri"/>
          <w:b/>
          <w:sz w:val="20"/>
          <w:szCs w:val="20"/>
        </w:rPr>
      </w:pPr>
    </w:p>
    <w:p w:rsidR="00EC0BA6" w:rsidRPr="00CF3671" w:rsidRDefault="00EC0BA6" w:rsidP="00EC0BA6">
      <w:pPr>
        <w:jc w:val="center"/>
        <w:rPr>
          <w:rFonts w:eastAsia="Calibri"/>
          <w:b/>
          <w:sz w:val="20"/>
          <w:szCs w:val="20"/>
        </w:rPr>
      </w:pPr>
      <w:r w:rsidRPr="00CF3671">
        <w:rPr>
          <w:rFonts w:eastAsia="Calibri"/>
          <w:b/>
          <w:sz w:val="20"/>
          <w:szCs w:val="20"/>
        </w:rPr>
        <w:t xml:space="preserve">СОГЛАШЕНИЕ ОБ ИСПОЛЬЗОВАНИИ ПРИНЦИПОВ КОРПОРАТИВНОЙ СОЦИАЛЬНОЙ ОТВЕТСТВЕННОСТИ </w:t>
      </w:r>
    </w:p>
    <w:p w:rsidR="00EC0BA6" w:rsidRPr="00CF3671" w:rsidRDefault="00EC0BA6" w:rsidP="00EC0BA6">
      <w:pPr>
        <w:rPr>
          <w:rFonts w:eastAsia="Calibri"/>
          <w:sz w:val="20"/>
          <w:szCs w:val="20"/>
        </w:rPr>
      </w:pPr>
    </w:p>
    <w:p w:rsidR="00EC0BA6" w:rsidRPr="00CF3671" w:rsidRDefault="00EC0BA6" w:rsidP="00EC0BA6">
      <w:pPr>
        <w:tabs>
          <w:tab w:val="left" w:pos="0"/>
          <w:tab w:val="left" w:pos="567"/>
          <w:tab w:val="left" w:pos="851"/>
        </w:tabs>
        <w:ind w:firstLine="567"/>
        <w:jc w:val="both"/>
        <w:rPr>
          <w:rFonts w:eastAsia="Calibri"/>
          <w:sz w:val="20"/>
          <w:szCs w:val="20"/>
        </w:rPr>
      </w:pPr>
      <w:r w:rsidRPr="00CF3671">
        <w:rPr>
          <w:rFonts w:eastAsia="Calibri"/>
          <w:sz w:val="20"/>
          <w:szCs w:val="20"/>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Добросовестная конкуренция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Конфиденциальность и интеллектуальная собственность</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Выявление проблем</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Недопущение использования сырья из регионов, охваченных военными конфликтами </w:t>
      </w:r>
    </w:p>
    <w:p w:rsidR="00EC0BA6" w:rsidRPr="00CF3671" w:rsidRDefault="00EC0BA6" w:rsidP="00EC0BA6">
      <w:pPr>
        <w:widowControl w:val="0"/>
        <w:tabs>
          <w:tab w:val="left" w:pos="0"/>
          <w:tab w:val="left" w:pos="567"/>
          <w:tab w:val="left" w:pos="851"/>
        </w:tabs>
        <w:jc w:val="both"/>
        <w:rPr>
          <w:sz w:val="20"/>
          <w:szCs w:val="20"/>
        </w:rPr>
      </w:pPr>
      <w:r w:rsidRPr="00CF3671">
        <w:rPr>
          <w:sz w:val="20"/>
          <w:szCs w:val="20"/>
        </w:rPr>
        <w:t>Исполнитель не использует в производстве товаров, поставляемых Заказчику,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Недопущение использования детского труда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CF3671">
        <w:rPr>
          <w:sz w:val="20"/>
          <w:szCs w:val="20"/>
        </w:rPr>
        <w:t>International</w:t>
      </w:r>
      <w:proofErr w:type="spellEnd"/>
      <w:r w:rsidRPr="00CF3671">
        <w:rPr>
          <w:sz w:val="20"/>
          <w:szCs w:val="20"/>
        </w:rPr>
        <w:t xml:space="preserve"> </w:t>
      </w:r>
      <w:proofErr w:type="spellStart"/>
      <w:r w:rsidRPr="00CF3671">
        <w:rPr>
          <w:sz w:val="20"/>
          <w:szCs w:val="20"/>
        </w:rPr>
        <w:t>Labour</w:t>
      </w:r>
      <w:proofErr w:type="spellEnd"/>
      <w:r w:rsidRPr="00CF3671">
        <w:rPr>
          <w:sz w:val="20"/>
          <w:szCs w:val="20"/>
        </w:rPr>
        <w:t xml:space="preserve"> </w:t>
      </w:r>
      <w:proofErr w:type="spellStart"/>
      <w:r w:rsidRPr="00CF3671">
        <w:rPr>
          <w:sz w:val="20"/>
          <w:szCs w:val="20"/>
        </w:rPr>
        <w:t>Organization</w:t>
      </w:r>
      <w:proofErr w:type="spellEnd"/>
      <w:r w:rsidRPr="00CF3671">
        <w:rPr>
          <w:sz w:val="20"/>
          <w:szCs w:val="20"/>
        </w:rPr>
        <w:t xml:space="preserve">) – МОТ (Международной организации труда) и принципов, сформулированных в </w:t>
      </w:r>
      <w:proofErr w:type="spellStart"/>
      <w:r w:rsidRPr="00CF3671">
        <w:rPr>
          <w:sz w:val="20"/>
          <w:szCs w:val="20"/>
        </w:rPr>
        <w:t>United</w:t>
      </w:r>
      <w:proofErr w:type="spellEnd"/>
      <w:r w:rsidRPr="00CF3671">
        <w:rPr>
          <w:sz w:val="20"/>
          <w:szCs w:val="20"/>
        </w:rPr>
        <w:t xml:space="preserve"> </w:t>
      </w:r>
      <w:proofErr w:type="spellStart"/>
      <w:r w:rsidRPr="00CF3671">
        <w:rPr>
          <w:sz w:val="20"/>
          <w:szCs w:val="20"/>
        </w:rPr>
        <w:t>Nations</w:t>
      </w:r>
      <w:proofErr w:type="spellEnd"/>
      <w:r w:rsidRPr="00CF3671">
        <w:rPr>
          <w:sz w:val="20"/>
          <w:szCs w:val="20"/>
        </w:rPr>
        <w:t xml:space="preserve"> </w:t>
      </w:r>
      <w:proofErr w:type="spellStart"/>
      <w:r w:rsidRPr="00CF3671">
        <w:rPr>
          <w:sz w:val="20"/>
          <w:szCs w:val="20"/>
        </w:rPr>
        <w:t>Global</w:t>
      </w:r>
      <w:proofErr w:type="spellEnd"/>
      <w:r w:rsidRPr="00CF3671">
        <w:rPr>
          <w:sz w:val="20"/>
          <w:szCs w:val="20"/>
        </w:rPr>
        <w:t xml:space="preserve"> </w:t>
      </w:r>
      <w:proofErr w:type="spellStart"/>
      <w:r w:rsidRPr="00CF3671">
        <w:rPr>
          <w:sz w:val="20"/>
          <w:szCs w:val="20"/>
        </w:rPr>
        <w:t>Compact</w:t>
      </w:r>
      <w:proofErr w:type="spellEnd"/>
      <w:r w:rsidRPr="00CF3671">
        <w:rPr>
          <w:sz w:val="20"/>
          <w:szCs w:val="20"/>
        </w:rPr>
        <w:t xml:space="preserve"> – Глобальном договоре под эгидой Организации Объединенных Наций.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Свобода занятости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Обеспечение равных прав и условий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Справедливое обращение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Соблюдение время работы, справедливый размер оплаты труда и льготы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Свобода ассоциации </w:t>
      </w:r>
    </w:p>
    <w:p w:rsidR="00EC0BA6" w:rsidRPr="00CF3671" w:rsidRDefault="00EC0BA6" w:rsidP="00EC0BA6">
      <w:pPr>
        <w:widowControl w:val="0"/>
        <w:tabs>
          <w:tab w:val="left" w:pos="0"/>
          <w:tab w:val="left" w:pos="567"/>
          <w:tab w:val="left" w:pos="851"/>
        </w:tabs>
        <w:jc w:val="both"/>
        <w:rPr>
          <w:sz w:val="20"/>
          <w:szCs w:val="20"/>
        </w:rPr>
      </w:pPr>
      <w:r w:rsidRPr="00CF3671">
        <w:rPr>
          <w:sz w:val="20"/>
          <w:szCs w:val="20"/>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lastRenderedPageBreak/>
        <w:t xml:space="preserve">Требования к качеству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Исполнитель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Заказчика в качественных товарах, работах и услугах, безопасных при использовании по назначению.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Забота о здоровье и безопасности, соблюдение экологических требований</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Безопасность продукции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Исполнитель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Заказчику.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В рамках своей зоны ответственности Исполнитель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Безопасность и охрана труда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Безопасность рабочих процессов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Исполнитель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Исполнитель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Готовность к чрезвычайным ситуациям, информирование о рисках и обучение сотрудников действиям при чрезвычайных ситуациях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Безопасное обращение с отходами и выбросами</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Исполнитель должен располагать системами для предотвращения или минимизации аварийных разливов и выбросов в окружающую среду.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Бережное отношение к ресурсам и защита климата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EC0BA6" w:rsidRPr="00CF3671" w:rsidRDefault="00EC0BA6" w:rsidP="00EC0BA6">
      <w:pPr>
        <w:widowControl w:val="0"/>
        <w:tabs>
          <w:tab w:val="left" w:pos="0"/>
          <w:tab w:val="left" w:pos="567"/>
          <w:tab w:val="left" w:pos="851"/>
        </w:tabs>
        <w:contextualSpacing/>
        <w:jc w:val="both"/>
        <w:rPr>
          <w:b/>
          <w:sz w:val="20"/>
          <w:szCs w:val="20"/>
        </w:rPr>
      </w:pPr>
      <w:r w:rsidRPr="00CF3671">
        <w:rPr>
          <w:b/>
          <w:sz w:val="20"/>
          <w:szCs w:val="20"/>
        </w:rPr>
        <w:t>Коммуникации с привлекаемыми третьими лицами</w:t>
      </w:r>
    </w:p>
    <w:p w:rsidR="00EC0BA6" w:rsidRPr="00CF3671" w:rsidRDefault="00EC0BA6" w:rsidP="00EC0BA6">
      <w:pPr>
        <w:widowControl w:val="0"/>
        <w:tabs>
          <w:tab w:val="left" w:pos="0"/>
          <w:tab w:val="left" w:pos="567"/>
          <w:tab w:val="left" w:pos="851"/>
        </w:tabs>
        <w:contextualSpacing/>
        <w:jc w:val="both"/>
        <w:rPr>
          <w:sz w:val="20"/>
          <w:szCs w:val="20"/>
        </w:rPr>
      </w:pPr>
      <w:r w:rsidRPr="00CF3671">
        <w:rPr>
          <w:sz w:val="20"/>
          <w:szCs w:val="20"/>
        </w:rPr>
        <w:t xml:space="preserve">Исполнитель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rsidR="00EC0BA6" w:rsidRPr="00CF3671" w:rsidRDefault="00EC0BA6" w:rsidP="00EC0BA6">
      <w:pPr>
        <w:widowControl w:val="0"/>
        <w:tabs>
          <w:tab w:val="left" w:pos="0"/>
          <w:tab w:val="left" w:pos="567"/>
          <w:tab w:val="left" w:pos="851"/>
        </w:tabs>
        <w:spacing w:before="120"/>
        <w:contextualSpacing/>
        <w:jc w:val="both"/>
        <w:rPr>
          <w:b/>
          <w:sz w:val="20"/>
          <w:szCs w:val="20"/>
        </w:rPr>
      </w:pPr>
      <w:r w:rsidRPr="00CF3671">
        <w:rPr>
          <w:b/>
          <w:sz w:val="20"/>
          <w:szCs w:val="20"/>
        </w:rPr>
        <w:t xml:space="preserve">Управление рисками </w:t>
      </w:r>
    </w:p>
    <w:p w:rsidR="00EC0BA6" w:rsidRPr="00CF3671" w:rsidRDefault="00EC0BA6" w:rsidP="00EC0BA6">
      <w:pPr>
        <w:widowControl w:val="0"/>
        <w:tabs>
          <w:tab w:val="left" w:pos="0"/>
          <w:tab w:val="left" w:pos="567"/>
          <w:tab w:val="left" w:pos="851"/>
        </w:tabs>
        <w:spacing w:before="120"/>
        <w:contextualSpacing/>
        <w:jc w:val="both"/>
        <w:rPr>
          <w:sz w:val="20"/>
          <w:szCs w:val="20"/>
        </w:rPr>
      </w:pPr>
      <w:r w:rsidRPr="00CF3671">
        <w:rPr>
          <w:sz w:val="20"/>
          <w:szCs w:val="20"/>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EC0BA6" w:rsidRPr="00CF3671" w:rsidRDefault="00EC0BA6" w:rsidP="00EC0BA6">
      <w:pPr>
        <w:widowControl w:val="0"/>
        <w:tabs>
          <w:tab w:val="left" w:pos="0"/>
          <w:tab w:val="left" w:pos="567"/>
          <w:tab w:val="left" w:pos="851"/>
        </w:tabs>
        <w:contextualSpacing/>
        <w:jc w:val="both"/>
        <w:rPr>
          <w:b/>
          <w:sz w:val="20"/>
          <w:szCs w:val="20"/>
        </w:rPr>
      </w:pPr>
      <w:r w:rsidRPr="00CF3671">
        <w:rPr>
          <w:b/>
          <w:sz w:val="20"/>
          <w:szCs w:val="20"/>
        </w:rPr>
        <w:t xml:space="preserve">Постоянное совершенствование </w:t>
      </w:r>
    </w:p>
    <w:p w:rsidR="00EC0BA6" w:rsidRPr="00CF3671" w:rsidRDefault="00EC0BA6" w:rsidP="00EC0BA6">
      <w:pPr>
        <w:widowControl w:val="0"/>
        <w:tabs>
          <w:tab w:val="left" w:pos="0"/>
          <w:tab w:val="left" w:pos="567"/>
          <w:tab w:val="left" w:pos="851"/>
        </w:tabs>
        <w:jc w:val="both"/>
        <w:rPr>
          <w:sz w:val="20"/>
          <w:szCs w:val="20"/>
        </w:rPr>
      </w:pPr>
      <w:r w:rsidRPr="00CF3671">
        <w:rPr>
          <w:sz w:val="20"/>
          <w:szCs w:val="20"/>
        </w:rPr>
        <w:lastRenderedPageBreak/>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EC0BA6" w:rsidRPr="00CF3671" w:rsidRDefault="00EC0BA6" w:rsidP="00EC0BA6">
      <w:pPr>
        <w:widowControl w:val="0"/>
        <w:tabs>
          <w:tab w:val="left" w:pos="0"/>
          <w:tab w:val="left" w:pos="567"/>
          <w:tab w:val="left" w:pos="851"/>
        </w:tabs>
        <w:jc w:val="both"/>
        <w:rPr>
          <w:sz w:val="20"/>
          <w:szCs w:val="20"/>
        </w:rPr>
      </w:pPr>
    </w:p>
    <w:p w:rsidR="00EC0BA6" w:rsidRPr="00CF3671" w:rsidRDefault="00EC0BA6" w:rsidP="00EC0BA6">
      <w:pPr>
        <w:tabs>
          <w:tab w:val="left" w:pos="0"/>
          <w:tab w:val="left" w:pos="567"/>
          <w:tab w:val="left" w:pos="851"/>
          <w:tab w:val="left" w:pos="1134"/>
        </w:tabs>
        <w:ind w:firstLine="567"/>
        <w:jc w:val="both"/>
        <w:rPr>
          <w:rFonts w:eastAsia="Calibri"/>
          <w:sz w:val="20"/>
          <w:szCs w:val="20"/>
        </w:rPr>
      </w:pPr>
      <w:r w:rsidRPr="00CF3671">
        <w:rPr>
          <w:rFonts w:eastAsia="Calibri"/>
          <w:sz w:val="20"/>
          <w:szCs w:val="20"/>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EC0BA6" w:rsidRPr="00CF3671" w:rsidRDefault="00EC0BA6" w:rsidP="00EC0BA6">
      <w:pPr>
        <w:tabs>
          <w:tab w:val="left" w:pos="0"/>
          <w:tab w:val="left" w:pos="567"/>
          <w:tab w:val="left" w:pos="851"/>
          <w:tab w:val="left" w:pos="1134"/>
        </w:tabs>
        <w:ind w:firstLine="567"/>
        <w:jc w:val="both"/>
        <w:rPr>
          <w:rFonts w:eastAsia="Calibri"/>
          <w:sz w:val="20"/>
          <w:szCs w:val="20"/>
        </w:rPr>
      </w:pPr>
      <w:r w:rsidRPr="00CF3671">
        <w:rPr>
          <w:rFonts w:eastAsia="Calibri"/>
          <w:sz w:val="20"/>
          <w:szCs w:val="20"/>
        </w:rPr>
        <w:t>Настоящее Соглашение действует в течение срока действия настоящего Договора.</w:t>
      </w:r>
    </w:p>
    <w:p w:rsidR="00EC0BA6" w:rsidRPr="00CF3671" w:rsidRDefault="00EC0BA6" w:rsidP="00EC0BA6">
      <w:pPr>
        <w:tabs>
          <w:tab w:val="left" w:pos="0"/>
          <w:tab w:val="left" w:pos="567"/>
          <w:tab w:val="left" w:pos="851"/>
          <w:tab w:val="left" w:pos="1134"/>
        </w:tabs>
        <w:ind w:firstLine="567"/>
        <w:jc w:val="both"/>
        <w:rPr>
          <w:rFonts w:eastAsia="Calibri"/>
          <w:sz w:val="20"/>
          <w:szCs w:val="20"/>
        </w:rPr>
      </w:pPr>
    </w:p>
    <w:p w:rsidR="00EC0BA6" w:rsidRPr="00357935" w:rsidRDefault="00EC0BA6" w:rsidP="00EC0BA6">
      <w:pPr>
        <w:spacing w:after="200" w:line="276" w:lineRule="auto"/>
        <w:jc w:val="center"/>
        <w:rPr>
          <w:rFonts w:eastAsia="Calibri"/>
          <w:b/>
          <w:bCs/>
          <w:iCs/>
          <w:sz w:val="20"/>
          <w:szCs w:val="20"/>
        </w:rPr>
      </w:pPr>
      <w:r w:rsidRPr="00357935">
        <w:rPr>
          <w:rFonts w:eastAsia="Calibri"/>
          <w:b/>
          <w:bCs/>
          <w:iCs/>
          <w:sz w:val="20"/>
          <w:szCs w:val="20"/>
        </w:rPr>
        <w:t>Подписи Сторон</w:t>
      </w:r>
    </w:p>
    <w:p w:rsidR="00EC0BA6" w:rsidRPr="00357935" w:rsidRDefault="00EC0BA6" w:rsidP="00EC0BA6">
      <w:pPr>
        <w:jc w:val="both"/>
        <w:rPr>
          <w:rFonts w:eastAsia="Calibri"/>
          <w:sz w:val="20"/>
          <w:szCs w:val="20"/>
        </w:rPr>
      </w:pPr>
    </w:p>
    <w:tbl>
      <w:tblPr>
        <w:tblW w:w="0" w:type="auto"/>
        <w:tblLook w:val="00A0" w:firstRow="1" w:lastRow="0" w:firstColumn="1" w:lastColumn="0" w:noHBand="0" w:noVBand="0"/>
      </w:tblPr>
      <w:tblGrid>
        <w:gridCol w:w="4788"/>
        <w:gridCol w:w="360"/>
        <w:gridCol w:w="3960"/>
      </w:tblGrid>
      <w:tr w:rsidR="00EC0BA6" w:rsidRPr="00357935" w:rsidTr="00ED6527">
        <w:tc>
          <w:tcPr>
            <w:tcW w:w="4788" w:type="dxa"/>
            <w:hideMark/>
          </w:tcPr>
          <w:p w:rsidR="00EC0BA6" w:rsidRPr="00357935" w:rsidRDefault="00EC0BA6" w:rsidP="00ED6527">
            <w:pPr>
              <w:widowControl w:val="0"/>
              <w:tabs>
                <w:tab w:val="left" w:pos="2835"/>
              </w:tabs>
              <w:snapToGrid w:val="0"/>
              <w:spacing w:line="276" w:lineRule="auto"/>
              <w:ind w:firstLine="360"/>
              <w:jc w:val="both"/>
              <w:rPr>
                <w:b/>
                <w:sz w:val="20"/>
                <w:szCs w:val="20"/>
                <w:lang w:eastAsia="en-US"/>
              </w:rPr>
            </w:pPr>
            <w:r w:rsidRPr="00357935">
              <w:rPr>
                <w:b/>
                <w:sz w:val="20"/>
                <w:szCs w:val="20"/>
                <w:lang w:eastAsia="en-US"/>
              </w:rPr>
              <w:t>От Покупателя:</w:t>
            </w:r>
          </w:p>
        </w:tc>
        <w:tc>
          <w:tcPr>
            <w:tcW w:w="360" w:type="dxa"/>
          </w:tcPr>
          <w:p w:rsidR="00EC0BA6" w:rsidRPr="00357935" w:rsidRDefault="00EC0BA6" w:rsidP="00ED6527">
            <w:pPr>
              <w:widowControl w:val="0"/>
              <w:tabs>
                <w:tab w:val="left" w:pos="2835"/>
              </w:tabs>
              <w:snapToGrid w:val="0"/>
              <w:spacing w:line="276" w:lineRule="auto"/>
              <w:ind w:firstLine="360"/>
              <w:jc w:val="both"/>
              <w:rPr>
                <w:sz w:val="20"/>
                <w:szCs w:val="20"/>
                <w:lang w:eastAsia="en-US"/>
              </w:rPr>
            </w:pPr>
          </w:p>
        </w:tc>
        <w:tc>
          <w:tcPr>
            <w:tcW w:w="3960" w:type="dxa"/>
            <w:hideMark/>
          </w:tcPr>
          <w:p w:rsidR="00EC0BA6" w:rsidRPr="00357935" w:rsidRDefault="00EC0BA6" w:rsidP="00ED6527">
            <w:pPr>
              <w:widowControl w:val="0"/>
              <w:tabs>
                <w:tab w:val="left" w:pos="2835"/>
              </w:tabs>
              <w:snapToGrid w:val="0"/>
              <w:spacing w:line="276" w:lineRule="auto"/>
              <w:ind w:firstLine="360"/>
              <w:rPr>
                <w:b/>
                <w:sz w:val="20"/>
                <w:szCs w:val="20"/>
                <w:lang w:eastAsia="en-US"/>
              </w:rPr>
            </w:pPr>
            <w:r w:rsidRPr="00357935">
              <w:rPr>
                <w:b/>
                <w:sz w:val="20"/>
                <w:szCs w:val="20"/>
                <w:lang w:eastAsia="en-US"/>
              </w:rPr>
              <w:t>От Продавца:</w:t>
            </w:r>
          </w:p>
        </w:tc>
      </w:tr>
      <w:tr w:rsidR="00EC0BA6" w:rsidRPr="00357935" w:rsidTr="00ED6527">
        <w:tc>
          <w:tcPr>
            <w:tcW w:w="4788" w:type="dxa"/>
          </w:tcPr>
          <w:p w:rsidR="00EC0BA6" w:rsidRPr="00357935" w:rsidRDefault="00EC0BA6" w:rsidP="00ED6527">
            <w:pPr>
              <w:widowControl w:val="0"/>
              <w:tabs>
                <w:tab w:val="left" w:pos="2835"/>
              </w:tabs>
              <w:snapToGrid w:val="0"/>
              <w:spacing w:line="276" w:lineRule="auto"/>
              <w:ind w:firstLine="360"/>
              <w:rPr>
                <w:sz w:val="20"/>
                <w:szCs w:val="20"/>
                <w:lang w:eastAsia="en-US"/>
              </w:rPr>
            </w:pPr>
            <w:r w:rsidRPr="00357935">
              <w:rPr>
                <w:sz w:val="20"/>
                <w:szCs w:val="20"/>
                <w:vertAlign w:val="superscript"/>
                <w:lang w:eastAsia="en-US"/>
              </w:rPr>
              <w:footnoteReference w:id="1"/>
            </w:r>
            <w:r w:rsidRPr="00357935">
              <w:rPr>
                <w:sz w:val="20"/>
                <w:szCs w:val="20"/>
                <w:lang w:eastAsia="en-US"/>
              </w:rPr>
              <w:t>Должность</w:t>
            </w:r>
          </w:p>
          <w:p w:rsidR="00EC0BA6" w:rsidRPr="00357935" w:rsidRDefault="00EC0BA6" w:rsidP="00ED6527">
            <w:pPr>
              <w:widowControl w:val="0"/>
              <w:tabs>
                <w:tab w:val="left" w:pos="2835"/>
              </w:tabs>
              <w:snapToGrid w:val="0"/>
              <w:spacing w:line="276" w:lineRule="auto"/>
              <w:ind w:firstLine="360"/>
              <w:rPr>
                <w:sz w:val="20"/>
                <w:szCs w:val="20"/>
                <w:lang w:eastAsia="en-US"/>
              </w:rPr>
            </w:pPr>
          </w:p>
          <w:p w:rsidR="00EC0BA6" w:rsidRPr="00357935" w:rsidRDefault="00EC0BA6" w:rsidP="00ED6527">
            <w:pPr>
              <w:widowControl w:val="0"/>
              <w:tabs>
                <w:tab w:val="left" w:pos="2835"/>
              </w:tabs>
              <w:snapToGrid w:val="0"/>
              <w:spacing w:line="276" w:lineRule="auto"/>
              <w:ind w:firstLine="360"/>
              <w:jc w:val="both"/>
              <w:rPr>
                <w:sz w:val="20"/>
                <w:szCs w:val="20"/>
                <w:lang w:eastAsia="en-US"/>
              </w:rPr>
            </w:pPr>
          </w:p>
          <w:p w:rsidR="00EC0BA6" w:rsidRPr="00357935" w:rsidRDefault="00EC0BA6" w:rsidP="00ED6527">
            <w:pPr>
              <w:widowControl w:val="0"/>
              <w:tabs>
                <w:tab w:val="left" w:pos="2835"/>
              </w:tabs>
              <w:snapToGrid w:val="0"/>
              <w:spacing w:line="276" w:lineRule="auto"/>
              <w:ind w:firstLine="360"/>
              <w:jc w:val="both"/>
              <w:rPr>
                <w:sz w:val="20"/>
                <w:szCs w:val="20"/>
                <w:lang w:eastAsia="en-US"/>
              </w:rPr>
            </w:pPr>
            <w:r w:rsidRPr="00357935">
              <w:rPr>
                <w:sz w:val="20"/>
                <w:szCs w:val="20"/>
                <w:lang w:eastAsia="en-US"/>
              </w:rPr>
              <w:t>________________ Ф.И.О.</w:t>
            </w:r>
          </w:p>
          <w:p w:rsidR="00EC0BA6" w:rsidRPr="00357935" w:rsidRDefault="00EC0BA6" w:rsidP="00ED6527">
            <w:pPr>
              <w:widowControl w:val="0"/>
              <w:tabs>
                <w:tab w:val="left" w:pos="2835"/>
              </w:tabs>
              <w:snapToGrid w:val="0"/>
              <w:spacing w:line="276" w:lineRule="auto"/>
              <w:ind w:firstLine="360"/>
              <w:jc w:val="both"/>
              <w:rPr>
                <w:sz w:val="20"/>
                <w:szCs w:val="20"/>
                <w:lang w:eastAsia="en-US"/>
              </w:rPr>
            </w:pPr>
            <w:proofErr w:type="spellStart"/>
            <w:r w:rsidRPr="00357935">
              <w:rPr>
                <w:sz w:val="20"/>
                <w:szCs w:val="20"/>
                <w:lang w:eastAsia="en-US"/>
              </w:rPr>
              <w:t>м.п</w:t>
            </w:r>
            <w:proofErr w:type="spellEnd"/>
            <w:r w:rsidRPr="00357935">
              <w:rPr>
                <w:sz w:val="20"/>
                <w:szCs w:val="20"/>
                <w:lang w:eastAsia="en-US"/>
              </w:rPr>
              <w:t>.</w:t>
            </w:r>
          </w:p>
        </w:tc>
        <w:tc>
          <w:tcPr>
            <w:tcW w:w="360" w:type="dxa"/>
          </w:tcPr>
          <w:p w:rsidR="00EC0BA6" w:rsidRPr="00357935" w:rsidRDefault="00EC0BA6" w:rsidP="00ED6527">
            <w:pPr>
              <w:widowControl w:val="0"/>
              <w:tabs>
                <w:tab w:val="left" w:pos="2835"/>
              </w:tabs>
              <w:snapToGrid w:val="0"/>
              <w:spacing w:line="276" w:lineRule="auto"/>
              <w:ind w:firstLine="360"/>
              <w:jc w:val="both"/>
              <w:rPr>
                <w:sz w:val="20"/>
                <w:szCs w:val="20"/>
                <w:lang w:eastAsia="en-US"/>
              </w:rPr>
            </w:pPr>
          </w:p>
        </w:tc>
        <w:tc>
          <w:tcPr>
            <w:tcW w:w="3960" w:type="dxa"/>
          </w:tcPr>
          <w:p w:rsidR="00EC0BA6" w:rsidRPr="00357935" w:rsidRDefault="00EC0BA6" w:rsidP="00ED6527">
            <w:pPr>
              <w:widowControl w:val="0"/>
              <w:tabs>
                <w:tab w:val="left" w:pos="2835"/>
              </w:tabs>
              <w:snapToGrid w:val="0"/>
              <w:spacing w:line="276" w:lineRule="auto"/>
              <w:ind w:firstLine="360"/>
              <w:rPr>
                <w:sz w:val="20"/>
                <w:szCs w:val="20"/>
                <w:lang w:eastAsia="en-US"/>
              </w:rPr>
            </w:pPr>
            <w:r w:rsidRPr="00357935">
              <w:rPr>
                <w:sz w:val="20"/>
                <w:szCs w:val="20"/>
                <w:lang w:eastAsia="en-US"/>
              </w:rPr>
              <w:t>Должность</w:t>
            </w:r>
          </w:p>
          <w:p w:rsidR="00EC0BA6" w:rsidRPr="00357935" w:rsidRDefault="00EC0BA6" w:rsidP="00ED6527">
            <w:pPr>
              <w:widowControl w:val="0"/>
              <w:tabs>
                <w:tab w:val="left" w:pos="2835"/>
              </w:tabs>
              <w:snapToGrid w:val="0"/>
              <w:spacing w:line="276" w:lineRule="auto"/>
              <w:ind w:firstLine="360"/>
              <w:jc w:val="right"/>
              <w:rPr>
                <w:sz w:val="20"/>
                <w:szCs w:val="20"/>
                <w:lang w:eastAsia="en-US"/>
              </w:rPr>
            </w:pPr>
          </w:p>
          <w:p w:rsidR="00EC0BA6" w:rsidRPr="00357935" w:rsidRDefault="00EC0BA6" w:rsidP="00ED6527">
            <w:pPr>
              <w:widowControl w:val="0"/>
              <w:tabs>
                <w:tab w:val="left" w:pos="2835"/>
              </w:tabs>
              <w:snapToGrid w:val="0"/>
              <w:spacing w:line="276" w:lineRule="auto"/>
              <w:ind w:firstLine="360"/>
              <w:jc w:val="right"/>
              <w:rPr>
                <w:sz w:val="20"/>
                <w:szCs w:val="20"/>
                <w:lang w:eastAsia="en-US"/>
              </w:rPr>
            </w:pPr>
          </w:p>
          <w:p w:rsidR="00EC0BA6" w:rsidRPr="00357935" w:rsidRDefault="00EC0BA6" w:rsidP="00ED6527">
            <w:pPr>
              <w:widowControl w:val="0"/>
              <w:tabs>
                <w:tab w:val="left" w:pos="2835"/>
              </w:tabs>
              <w:snapToGrid w:val="0"/>
              <w:spacing w:line="276" w:lineRule="auto"/>
              <w:ind w:firstLine="360"/>
              <w:jc w:val="both"/>
              <w:rPr>
                <w:sz w:val="20"/>
                <w:szCs w:val="20"/>
                <w:lang w:eastAsia="en-US"/>
              </w:rPr>
            </w:pPr>
            <w:r w:rsidRPr="00357935">
              <w:rPr>
                <w:sz w:val="20"/>
                <w:szCs w:val="20"/>
                <w:lang w:eastAsia="en-US"/>
              </w:rPr>
              <w:t>________________ Ф.И.О.</w:t>
            </w:r>
          </w:p>
          <w:p w:rsidR="00EC0BA6" w:rsidRPr="00357935" w:rsidRDefault="00EC0BA6" w:rsidP="00ED6527">
            <w:pPr>
              <w:widowControl w:val="0"/>
              <w:tabs>
                <w:tab w:val="left" w:pos="2835"/>
              </w:tabs>
              <w:snapToGrid w:val="0"/>
              <w:spacing w:line="276" w:lineRule="auto"/>
              <w:ind w:firstLine="360"/>
              <w:rPr>
                <w:sz w:val="20"/>
                <w:szCs w:val="20"/>
                <w:lang w:eastAsia="en-US"/>
              </w:rPr>
            </w:pPr>
            <w:proofErr w:type="spellStart"/>
            <w:r w:rsidRPr="00357935">
              <w:rPr>
                <w:sz w:val="20"/>
                <w:szCs w:val="20"/>
                <w:lang w:eastAsia="en-US"/>
              </w:rPr>
              <w:t>м.п</w:t>
            </w:r>
            <w:proofErr w:type="spellEnd"/>
            <w:r w:rsidRPr="00357935">
              <w:rPr>
                <w:sz w:val="20"/>
                <w:szCs w:val="20"/>
                <w:lang w:eastAsia="en-US"/>
              </w:rPr>
              <w:t>.</w:t>
            </w:r>
          </w:p>
        </w:tc>
      </w:tr>
    </w:tbl>
    <w:p w:rsidR="00857873" w:rsidRDefault="00857873">
      <w:bookmarkStart w:id="0" w:name="_GoBack"/>
      <w:bookmarkEnd w:id="0"/>
    </w:p>
    <w:sectPr w:rsidR="008578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A6" w:rsidRDefault="00EC0BA6" w:rsidP="00EC0BA6">
      <w:r>
        <w:separator/>
      </w:r>
    </w:p>
  </w:endnote>
  <w:endnote w:type="continuationSeparator" w:id="0">
    <w:p w:rsidR="00EC0BA6" w:rsidRDefault="00EC0BA6" w:rsidP="00EC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A6" w:rsidRDefault="00EC0BA6" w:rsidP="00EC0BA6">
      <w:r>
        <w:separator/>
      </w:r>
    </w:p>
  </w:footnote>
  <w:footnote w:type="continuationSeparator" w:id="0">
    <w:p w:rsidR="00EC0BA6" w:rsidRDefault="00EC0BA6" w:rsidP="00EC0BA6">
      <w:r>
        <w:continuationSeparator/>
      </w:r>
    </w:p>
  </w:footnote>
  <w:footnote w:id="1">
    <w:p w:rsidR="00EC0BA6" w:rsidRDefault="00EC0BA6" w:rsidP="00EC0BA6">
      <w:pPr>
        <w:pStyle w:val="a3"/>
        <w:jc w:val="both"/>
      </w:pPr>
      <w:r>
        <w:rPr>
          <w:rStyle w:val="a5"/>
        </w:rPr>
        <w:footnoteRef/>
      </w:r>
      <w:r>
        <w:t xml:space="preserve"> Пункт указывается при необходимости.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B8"/>
    <w:rsid w:val="00857873"/>
    <w:rsid w:val="00927FB8"/>
    <w:rsid w:val="00EC0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B2EBE-F1FA-4FD8-A4FC-16AE8E7C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B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EC0BA6"/>
    <w:rPr>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EC0BA6"/>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EC0BA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Ermine</dc:creator>
  <cp:keywords/>
  <dc:description/>
  <cp:lastModifiedBy>Ermine</cp:lastModifiedBy>
  <cp:revision>2</cp:revision>
  <dcterms:created xsi:type="dcterms:W3CDTF">2025-10-16T07:56:00Z</dcterms:created>
  <dcterms:modified xsi:type="dcterms:W3CDTF">2025-10-16T07:56:00Z</dcterms:modified>
</cp:coreProperties>
</file>