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D37" w:rsidRPr="00984959" w:rsidRDefault="00E242D7">
      <w:pPr>
        <w:keepLines/>
        <w:ind w:left="4819"/>
        <w:rPr>
          <w:lang w:val="ru-RU"/>
        </w:rPr>
      </w:pPr>
      <w:r w:rsidRPr="00984959">
        <w:rPr>
          <w:b/>
          <w:lang w:val="ru-RU"/>
        </w:rPr>
        <w:t>УТВЕРЖДЕНО</w:t>
      </w:r>
    </w:p>
    <w:p w:rsidR="00AA4D37" w:rsidRPr="00984959" w:rsidRDefault="00E242D7">
      <w:pPr>
        <w:keepLines/>
        <w:ind w:left="4819"/>
        <w:rPr>
          <w:lang w:val="ru-RU"/>
        </w:rPr>
      </w:pPr>
      <w:r w:rsidRPr="00984959">
        <w:rPr>
          <w:lang w:val="ru-RU"/>
        </w:rPr>
      </w:r>
      <w:r>
        <w:t>залоговыми кредиторами</w:t>
      </w:r>
    </w:p>
    <w:p w:rsidR="00AA4D37" w:rsidRPr="00984959" w:rsidRDefault="00E242D7">
      <w:pPr>
        <w:keepLines/>
        <w:ind w:left="4819"/>
        <w:rPr>
          <w:lang w:val="ru-RU"/>
        </w:rPr>
      </w:pPr>
      <w:proofErr w:type="spellStart"/>
      <w:r w:rsidRPr="00984959">
        <w:rPr>
          <w:b/>
          <w:lang w:val="ru-RU"/>
        </w:rPr>
      </w:r>
      <w:proofErr w:type="spellEnd"/>
      <w:r w:rsidRPr="00984959">
        <w:rPr>
          <w:b/>
          <w:lang w:val="ru-RU"/>
        </w:rPr>
      </w:r>
      <w:proofErr w:type="spellStart"/>
      <w:r w:rsidRPr="00984959">
        <w:rPr>
          <w:b/>
          <w:lang w:val="ru-RU"/>
        </w:rPr>
      </w:r>
      <w:proofErr w:type="spellEnd"/>
      <w:r w:rsidRPr="00984959">
        <w:rPr>
          <w:b/>
          <w:lang w:val="ru-RU"/>
        </w:rPr>
      </w:r>
      <w:proofErr w:type="spellStart"/>
      <w:r w:rsidRPr="00984959">
        <w:rPr>
          <w:b/>
          <w:lang w:val="ru-RU"/>
        </w:rPr>
      </w:r>
      <w:proofErr w:type="spellEnd"/>
      <w:r>
        <w:t>Будаевым Алексеем Ивановичем и Агеевой Ксенией Александровной</w:t>
      </w:r>
    </w:p>
    <w:p w:rsidR="00AA4D37" w:rsidRPr="00984959" w:rsidRDefault="00E242D7">
      <w:pPr>
        <w:keepLines/>
        <w:ind w:left="4819"/>
        <w:rPr>
          <w:lang w:val="ru-RU"/>
        </w:rPr>
      </w:pPr>
      <w:r w:rsidRPr="00984959">
        <w:rPr>
          <w:lang w:val="ru-RU"/>
        </w:rPr>
      </w:r>
    </w:p>
    <w:p w:rsidR="00AA4D37" w:rsidRPr="00984959" w:rsidRDefault="00E242D7">
      <w:pPr>
        <w:keepLines/>
        <w:ind w:left="4819"/>
        <w:rPr>
          <w:lang w:val="ru-RU"/>
        </w:rPr>
      </w:pPr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r/>
      <w:r>
        <w:t>________________ / Будаев А.И. /</w:t>
        <w:br/>
        <w:t>________________ / Агеева К.А. /</w:t>
      </w:r>
    </w:p>
    <w:p w:rsidR="00AA4D37" w:rsidRPr="00984959" w:rsidRDefault="00E242D7">
      <w:pPr>
        <w:keepLines/>
        <w:ind w:left="4819"/>
        <w:rPr>
          <w:lang w:val="ru-RU"/>
        </w:rPr>
      </w:pPr>
      <w:r w:rsidRPr="00984959">
        <w:rPr>
          <w:lang w:val="ru-RU"/>
        </w:rPr>
        <w:t>«___» ____________ 2026 г.</w:t>
      </w:r>
    </w:p>
    <w:p w:rsidR="00984959" w:rsidRPr="00984959" w:rsidRDefault="00984959">
      <w:pPr>
        <w:keepNext/>
        <w:keepLines/>
        <w:jc w:val="center"/>
        <w:rPr>
          <w:b/>
          <w:lang w:val="ru-RU"/>
        </w:rPr>
      </w:pPr>
    </w:p>
    <w:p w:rsidR="00AA4D37" w:rsidRPr="00984959" w:rsidRDefault="00E242D7">
      <w:pPr>
        <w:keepNext/>
        <w:keepLines/>
        <w:jc w:val="center"/>
        <w:rPr>
          <w:lang w:val="ru-RU"/>
        </w:rPr>
      </w:pPr>
      <w:r w:rsidRPr="00984959">
        <w:rPr>
          <w:b/>
          <w:lang w:val="ru-RU"/>
        </w:rPr>
        <w:t>ПОЛОЖЕНИЕ</w:t>
      </w:r>
    </w:p>
    <w:p w:rsidR="00AA4D37" w:rsidRPr="00984959" w:rsidRDefault="00E242D7">
      <w:pPr>
        <w:keepNext/>
        <w:keepLines/>
        <w:jc w:val="center"/>
        <w:rPr>
          <w:lang w:val="ru-RU"/>
        </w:rPr>
      </w:pPr>
      <w:r w:rsidRPr="00984959">
        <w:rPr>
          <w:b/>
          <w:lang w:val="ru-RU"/>
        </w:rPr>
        <w:t>о порядке, сроках и условиях проведения торгов по реализации имущества</w:t>
      </w:r>
    </w:p>
    <w:p w:rsidR="00AA4D37" w:rsidRPr="00984959" w:rsidRDefault="00E242D7">
      <w:pPr>
        <w:keepNext/>
        <w:keepLines/>
        <w:jc w:val="center"/>
        <w:rPr>
          <w:lang w:val="ru-RU"/>
        </w:rPr>
      </w:pPr>
      <w:proofErr w:type="spellStart"/>
      <w:r w:rsidRPr="00984959">
        <w:rPr>
          <w:b/>
          <w:lang w:val="ru-RU"/>
        </w:rPr>
        <w:t>Шечковой Альбины Николаевны, являющегося предметом залога,</w:t>
      </w:r>
      <w:proofErr w:type="spellEnd"/>
      <w:r w:rsidRPr="00984959">
        <w:rPr>
          <w:b/>
          <w:lang w:val="ru-RU"/>
        </w:rPr>
      </w:r>
      <w:proofErr w:type="spellStart"/>
      <w:r w:rsidRPr="00984959">
        <w:rPr>
          <w:b/>
          <w:lang w:val="ru-RU"/>
        </w:rPr>
      </w:r>
      <w:proofErr w:type="spellEnd"/>
      <w:r w:rsidRPr="00984959">
        <w:rPr>
          <w:b/>
          <w:lang w:val="ru-RU"/>
        </w:rPr>
      </w:r>
      <w:proofErr w:type="spellStart"/>
      <w:r w:rsidRPr="00984959">
        <w:rPr>
          <w:b/>
          <w:lang w:val="ru-RU"/>
        </w:rPr>
      </w:r>
      <w:proofErr w:type="spellEnd"/>
      <w:r w:rsidRPr="00984959">
        <w:rPr>
          <w:b/>
          <w:lang w:val="ru-RU"/>
        </w:rPr>
      </w:r>
    </w:p>
    <w:p w:rsidR="00AA4D37" w:rsidRPr="00984959" w:rsidRDefault="00E242D7">
      <w:pPr>
        <w:keepNext/>
        <w:keepLines/>
        <w:spacing w:after="80"/>
        <w:jc w:val="center"/>
        <w:rPr>
          <w:lang w:val="ru-RU"/>
        </w:rPr>
      </w:pPr>
      <w:r w:rsidRPr="00984959">
        <w:rPr>
          <w:b/>
          <w:lang w:val="ru-RU"/>
        </w:rPr>
        <w:t>в деле о банкротстве № А40-22537/26-38-41 «Ф»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1. Общие положения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r/>
      <w:r>
        <w:t>1.1. Настоящее Положение определяет порядок, сроки и условия реализации недвижимого имущества Шечковой Альбины Николаевны (далее — «Должник»), являющегося предметом залога в пользу Будаева Алексея Ивановича и Агеевой Ксении Александровны (далее совместно — «Залоговые кредиторы»), в рамках дела о банкротстве № А40-22537/26-38-41 «Ф».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1.2. В отношении Шечковой Альбины Николаевны введена процедура реализации имущества гражданина. Финансовым управляющим Должника является Балакин Александр Игоревич. Настоящее Положение определяет порядок реализации предмета залога в рамках действующей процедуры реализации имущества гражданина.</w:t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  <w:proofErr w:type="spellStart"/>
      <w:r w:rsidRPr="00984959">
        <w:rPr>
          <w:lang w:val="ru-RU"/>
        </w:rPr>
      </w:r>
      <w:proofErr w:type="spellEnd"/>
      <w:r w:rsidRPr="00984959">
        <w:rPr>
          <w:lang w:val="ru-RU"/>
        </w:rPr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1.3. Реализация предмета залога осуществляется в соответствии с Федеральным законом от 26.10.2002 № 127-ФЗ «О несостоятельности (банкротстве)» (далее - «Закон о банкротстве»), в том числе пунктом 4 статьи 213.26, статьями 110, 111, 138, 139 и 213.27 Закона о банкротстве, а также настоящим Положением.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1.4. Начальная продажная цена предмета залога, порядок и условия проведения торгов определяются Залоговыми кредиторами с учетом прав каждого из них. При наличии разногласий между Залоговыми кредиторами либо между ними и финансовым управляющим соответствующие разногласия разрешаются Арбитражным судом города Москвы в порядке пункта 4 статьи 213.26 Закона о банкротстве.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2. Сведения о составе реализуемого имущества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2.1. Продаже подлежит следующее имущество Должника, составляющее единый Лот № 1: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123"/>
      </w:tblGrid>
      <w:tr w:rsidR="00AA4D37">
        <w:trPr>
          <w:jc w:val="center"/>
        </w:trPr>
        <w:tc>
          <w:tcPr>
            <w:tcW w:w="2835" w:type="dxa"/>
            <w:vAlign w:val="center"/>
          </w:tcPr>
          <w:p w:rsidR="00AA4D37" w:rsidRDefault="00E242D7">
            <w:pPr>
              <w:spacing w:line="240" w:lineRule="auto"/>
            </w:pPr>
            <w:proofErr w:type="spellStart"/>
            <w:r>
              <w:rPr>
                <w:b/>
                <w:sz w:val="21"/>
              </w:rPr>
              <w:t>Вид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объекта</w:t>
            </w:r>
            <w:proofErr w:type="spellEnd"/>
          </w:p>
        </w:tc>
        <w:tc>
          <w:tcPr>
            <w:tcW w:w="6123" w:type="dxa"/>
            <w:vAlign w:val="center"/>
          </w:tcPr>
          <w:p w:rsidR="00AA4D37" w:rsidRDefault="00E242D7">
            <w:pPr>
              <w:spacing w:line="240" w:lineRule="auto"/>
            </w:pPr>
            <w:r>
              <w:rPr>
                <w:sz w:val="21"/>
              </w:rPr>
              <w:t>Квартира (жилое помещение)</w:t>
            </w:r>
          </w:p>
        </w:tc>
      </w:tr>
      <w:tr w:rsidR="00AA4D37">
        <w:trPr>
          <w:jc w:val="center"/>
        </w:trPr>
        <w:tc>
          <w:tcPr>
            <w:tcW w:w="2835" w:type="dxa"/>
            <w:vAlign w:val="center"/>
          </w:tcPr>
          <w:p w:rsidR="00AA4D37" w:rsidRDefault="00E242D7">
            <w:pPr>
              <w:spacing w:line="240" w:lineRule="auto"/>
            </w:pPr>
            <w:r>
              <w:rPr>
                <w:b/>
                <w:sz w:val="21"/>
              </w:rPr>
              <w:t>Кадастровый номер</w:t>
            </w:r>
          </w:p>
        </w:tc>
        <w:tc>
          <w:tcPr>
            <w:tcW w:w="6123" w:type="dxa"/>
            <w:vAlign w:val="center"/>
          </w:tcPr>
          <w:p>
            <w:r>
              <w:t>77:05:0006001:5806</w:t>
            </w:r>
          </w:p>
        </w:tc>
      </w:tr>
      <w:tr w:rsidR="00AA4D37" w:rsidRPr="000133C2">
        <w:trPr>
          <w:jc w:val="center"/>
        </w:trPr>
        <w:tc>
          <w:tcPr>
            <w:tcW w:w="2835" w:type="dxa"/>
            <w:vAlign w:val="center"/>
          </w:tcPr>
          <w:p w:rsidR="00AA4D37" w:rsidRDefault="00E242D7">
            <w:pPr>
              <w:spacing w:line="240" w:lineRule="auto"/>
            </w:pPr>
            <w:r>
              <w:rPr>
                <w:b/>
                <w:sz w:val="21"/>
              </w:rPr>
              <w:t>Адрес</w:t>
            </w:r>
          </w:p>
        </w:tc>
        <w:tc>
          <w:tcPr>
            <w:tcW w:w="6123" w:type="dxa"/>
            <w:vAlign w:val="center"/>
          </w:tcPr>
          <w:p>
            <w:r>
              <w:t>Российская Федерация, город Москва, вн.тер.г. муниципальный округ Чертаново Северное, проезд Сумской, дом 2, корпус 1, квартира 58</w:t>
            </w:r>
          </w:p>
        </w:tc>
      </w:tr>
      <w:tr w:rsidR="00AA4D37">
        <w:trPr>
          <w:jc w:val="center"/>
        </w:trPr>
        <w:tc>
          <w:tcPr>
            <w:tcW w:w="2835" w:type="dxa"/>
            <w:vAlign w:val="center"/>
          </w:tcPr>
          <w:p w:rsidR="00AA4D37" w:rsidRDefault="00E242D7">
            <w:pPr>
              <w:spacing w:line="240" w:lineRule="auto"/>
            </w:pPr>
            <w:proofErr w:type="spellStart"/>
            <w:r>
              <w:rPr>
                <w:b/>
                <w:sz w:val="21"/>
              </w:rPr>
              <w:t>Площадь</w:t>
            </w:r>
            <w:proofErr w:type="spellEnd"/>
          </w:p>
        </w:tc>
        <w:tc>
          <w:tcPr>
            <w:tcW w:w="6123" w:type="dxa"/>
            <w:vAlign w:val="center"/>
          </w:tcPr>
          <w:p>
            <w:r>
              <w:t>44,4 кв. м</w:t>
            </w:r>
          </w:p>
        </w:tc>
      </w:tr>
      <w:tr w:rsidR="00AA4D37">
        <w:trPr>
          <w:jc w:val="center"/>
        </w:trPr>
        <w:tc>
          <w:tcPr>
            <w:tcW w:w="2835" w:type="dxa"/>
            <w:vAlign w:val="center"/>
          </w:tcPr>
          <w:p w:rsidR="00AA4D37" w:rsidRDefault="00E242D7">
            <w:pPr>
              <w:spacing w:line="240" w:lineRule="auto"/>
            </w:pPr>
            <w:r>
              <w:rPr>
                <w:b/>
                <w:sz w:val="21"/>
              </w:rPr>
              <w:t>Право Должника</w:t>
            </w:r>
          </w:p>
        </w:tc>
        <w:tc>
          <w:tcPr>
            <w:tcW w:w="6123" w:type="dxa"/>
            <w:vAlign w:val="center"/>
          </w:tcPr>
          <w:p>
            <w:r>
              <w:t>Собственность Шечковой Альбины Николаевны (согласно судебному акту)</w:t>
            </w:r>
          </w:p>
        </w:tc>
      </w:tr>
      <w:tr w:rsidR="00AA4D37">
        <w:trPr>
          <w:jc w:val="center"/>
        </w:trPr>
        <w:tc>
          <w:tcPr>
            <w:tcW w:w="2835" w:type="dxa"/>
            <w:vAlign w:val="center"/>
          </w:tcPr>
          <w:p w:rsidR="00AA4D37" w:rsidRDefault="00E242D7">
            <w:pPr>
              <w:spacing w:line="240" w:lineRule="auto"/>
            </w:pPr>
            <w:r>
              <w:rPr>
                <w:b/>
                <w:sz w:val="21"/>
              </w:rPr>
              <w:t>Обременение</w:t>
            </w:r>
          </w:p>
        </w:tc>
        <w:tc>
          <w:tcPr>
            <w:tcW w:w="6123" w:type="dxa"/>
            <w:vAlign w:val="center"/>
          </w:tcPr>
          <w:p>
            <w:r>
              <w:t>Залог в пользу Агеевой Ксении Александровны (определение от 23.06.2026) и Будаева Алексея Ивановича (определение от 26.08.2026) по делу № А40-22537/26. Очередность залоговых прав подлежит проверке по ЕГРН и правоустанавливающим документам.</w:t>
            </w:r>
          </w:p>
        </w:tc>
      </w:tr>
    </w:tbl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lastRenderedPageBreak/>
        <w:t>2.</w:t>
      </w:r>
      <w:r w:rsidR="00984959">
        <w:rPr>
          <w:lang w:val="ru-RU"/>
        </w:rPr>
        <w:t>2</w:t>
      </w:r>
      <w:r w:rsidRPr="00984959">
        <w:rPr>
          <w:lang w:val="ru-RU"/>
        </w:rPr>
        <w:t xml:space="preserve">. Имущество реализуется в </w:t>
      </w:r>
      <w:r w:rsidR="00984959">
        <w:rPr>
          <w:lang w:val="ru-RU"/>
        </w:rPr>
        <w:t>его фактическом состоянии на дату проведения торгов с учетом имеющихся характеристик, недостатков и обременений</w:t>
      </w:r>
      <w:r w:rsidRPr="00984959">
        <w:rPr>
          <w:lang w:val="ru-RU"/>
        </w:rPr>
        <w:t>. Участник торгов до подачи заявки вправе ознакомиться с имеющимися документами. Подача заявки означает, что участник самостоятельно оценил фактическое и юридическое состояние имущества, включая сведения о зарегистрированных и (или) проживающих лицах.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3. Форма торгов и организатор торгов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3.1. Торги проводятся в электронной форме, являются открытыми по составу участников и по форме представления предложений о цене имущества.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3.2. Организатором торгов является финансовый управляющий Должника. Электронная торговая площадка выбирается финансовым управляющим из числа площадок, соответствующих требованиям законодательства о банкротстве.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3.3. Сообщение о проведении торгов, проект договора купли-продажи и договор о задатке размещаются в Едином федеральном реестре сведений о банкротстве и на электронной торговой площадке. В силу статьи 213.7 Закона о банкротстве сообщение о торгах имуществом гражданина в официальном печатном издании не публикуется.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3.4. Срок приема заявок на участие в первоначальных и повторных торгах составляет не менее 25 рабочих дней со дня размещения сообщения о проведении торгов. Конкретные даты и время начала и окончания приема заявок, проведения торгов и подведения итогов определяются организатором торгов в сообщении о торгах с соблюдением Закона о банкротстве.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4. Первоначальные торги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4.1. Начальная продажная цена Лота № 1 на первоначальных торгах устанавливается Залоговыми кредиторами в размере 14 000 000 (Четырнадцать миллионов) рублей 00 копеек.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4.2. Размер задатка для участия в первоначальных торгах составляет 10 % от начальной продажной цены Лота № 1, то есть 1 400 000 (Один миллион четыреста тысяч) рублей 00 копеек.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4.3. Шаг аукциона составляет 5 % от начальной продажной цены Лота № 1, то есть 700 000 (Семьсот тысяч) рублей 00 копеек.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4.4. Победителем первоначальных торгов признается участник, предложивший наиболее высокую цену за Лот № 1.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5. Повторные торги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 xml:space="preserve">5.1. В случае признания первоначальных торгов несостоявшимися и </w:t>
      </w:r>
      <w:proofErr w:type="spellStart"/>
      <w:r w:rsidRPr="00984959">
        <w:rPr>
          <w:lang w:val="ru-RU"/>
        </w:rPr>
        <w:t>незаключения</w:t>
      </w:r>
      <w:proofErr w:type="spellEnd"/>
      <w:r w:rsidRPr="00984959">
        <w:rPr>
          <w:lang w:val="ru-RU"/>
        </w:rPr>
        <w:t xml:space="preserve"> договора купли-продажи с единственным участником либо победителем организатор торгов проводит повторные торги.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5.2. Начальная продажная цена Лота № 1 на повторных торгах устанавливается на 10 % ниже начальной цены первоначальных торгов и составляет 12 600 000 (Двенадцать миллионов шестьсот тысяч) рублей 00 копеек.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5.3. Размер задатка на повторных торгах составляет 10 % от начальной продажной цены повторных торгов, то есть 1 260 000 (Один миллион двести шестьдесят тысяч) рублей 00 копеек. Шаг аукциона составляет 5 % от начальной продажной цены повторных торгов, то есть 630 000 (Шестьсот тридцать тысяч) рублей 00 копеек.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5.4. Повторные торги проводятся по правилам, установленным для первоначальных торгов, с учетом условий настоящего раздела.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</w:r>
      <w:r>
        <w:t>6. Оставление предмета залога за залоговым кредитором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6.1. В случае признания повторных торгов несостоявшимися вопрос об оставлении предмета залога за собой разрешается с учетом прав обоих Залоговых кредиторов, очередности их залоговых прав и требований статьи 138 Закона о банкротстве. Оценка при оставлении предмета залога за собой составляет 11 340 000 (Одиннадцать миллионов триста сорок тысяч) рублей 00 копеек, то есть на 10 % ниже начальной цены повторных торгов. При разногласиях порядок осуществления этого права определяется арбитражным судом.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6.2. Если предмет залога не оставлен за собой в установленном законом порядке после признания повторных торгов несостоявшимися, имущество подлежит продаже посредством публичного предложения.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6.3. В ходе торгов посредством публичного предложения вопрос об оставлении предмета залога за собой на любом этапе снижения цены при отсутствии заявок разрешается с учетом прав обоих Залоговых кредиторов и в порядке, установленном статьей 138 Закона о банкротстве.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7. Продажа посредством публичного предложения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7.1. Начальная цена продажи Лота № 1 посредством публичного предложения устанавливается равной начальной цене повторных торгов и составляет 12 600 000 (Двенадцать миллионов шестьсот тысяч) рублей 00 копеек.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7.2. Величина последовательного снижения цены составляет 10 % от начальной цены продажи посредством публичного предложения - 1 260 000 (Один миллион двести шестьдесят тысяч) рублей 00 копеек. Срок каждого периода действия цены составляет 7 календарных дней. Цена отсечения устанавливается в размере 8 000 000 (Восемь миллионов) рублей 00 копеек. При очередном снижении, которое привело бы к цене ниже цены отсечения, устанавливается цена 8 000 000 рублей.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7.3. Периоды и цены продажи Лота № 1 посредством публичного предложения устанавливаются следующим образом: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969"/>
        <w:gridCol w:w="3855"/>
      </w:tblGrid>
      <w:tr w:rsidR="00AA4D37">
        <w:trPr>
          <w:jc w:val="center"/>
        </w:trPr>
        <w:tc>
          <w:tcPr>
            <w:tcW w:w="1134" w:type="dxa"/>
            <w:vAlign w:val="center"/>
          </w:tcPr>
          <w:p w:rsidR="00AA4D37" w:rsidRDefault="00E242D7">
            <w:pPr>
              <w:spacing w:line="240" w:lineRule="auto"/>
              <w:jc w:val="center"/>
            </w:pPr>
            <w:proofErr w:type="spellStart"/>
            <w:r>
              <w:rPr>
                <w:b/>
                <w:sz w:val="21"/>
              </w:rPr>
              <w:t>Период</w:t>
            </w:r>
            <w:proofErr w:type="spellEnd"/>
          </w:p>
        </w:tc>
        <w:tc>
          <w:tcPr>
            <w:tcW w:w="3969" w:type="dxa"/>
            <w:vAlign w:val="center"/>
          </w:tcPr>
          <w:p w:rsidR="00AA4D37" w:rsidRDefault="00E242D7">
            <w:pPr>
              <w:spacing w:line="240" w:lineRule="auto"/>
              <w:jc w:val="center"/>
            </w:pPr>
            <w:r>
              <w:rPr>
                <w:b/>
                <w:sz w:val="21"/>
              </w:rPr>
              <w:t>Продажная цена, руб.</w:t>
            </w:r>
          </w:p>
        </w:tc>
        <w:tc>
          <w:tcPr>
            <w:tcW w:w="3855" w:type="dxa"/>
            <w:vAlign w:val="center"/>
          </w:tcPr>
          <w:p w:rsidR="00AA4D37" w:rsidRDefault="00E242D7">
            <w:pPr>
              <w:spacing w:line="240" w:lineRule="auto"/>
              <w:jc w:val="center"/>
            </w:pPr>
            <w:r>
              <w:rPr>
                <w:b/>
                <w:sz w:val="21"/>
              </w:rPr>
              <w:t>Срок действия цены</w:t>
            </w:r>
          </w:p>
        </w:tc>
      </w:tr>
      <w:tr w:rsidR="00AA4D37">
        <w:trPr>
          <w:jc w:val="center"/>
        </w:trPr>
        <w:tc>
          <w:tcPr>
            <w:tcW w:w="1134" w:type="dxa"/>
            <w:vAlign w:val="center"/>
          </w:tcPr>
          <w:p>
            <w:r>
              <w:t>1</w:t>
            </w:r>
          </w:p>
        </w:tc>
        <w:tc>
          <w:tcPr>
            <w:tcW w:w="3969" w:type="dxa"/>
            <w:vAlign w:val="center"/>
          </w:tcPr>
          <w:p>
            <w:r>
              <w:t>12 600 000</w:t>
            </w:r>
          </w:p>
        </w:tc>
        <w:tc>
          <w:tcPr>
            <w:tcW w:w="3855" w:type="dxa"/>
            <w:vAlign w:val="center"/>
          </w:tcPr>
          <w:p>
            <w:r>
              <w:t>7 календарных дней</w:t>
            </w:r>
          </w:p>
        </w:tc>
      </w:tr>
      <w:tr w:rsidR="00AA4D37">
        <w:trPr>
          <w:jc w:val="center"/>
        </w:trPr>
        <w:tc>
          <w:tcPr>
            <w:tcW w:w="1134" w:type="dxa"/>
            <w:vAlign w:val="center"/>
          </w:tcPr>
          <w:p>
            <w:r>
              <w:t>2</w:t>
            </w:r>
          </w:p>
        </w:tc>
        <w:tc>
          <w:tcPr>
            <w:tcW w:w="3969" w:type="dxa"/>
            <w:vAlign w:val="center"/>
          </w:tcPr>
          <w:p>
            <w:r>
              <w:t>11 340 000</w:t>
            </w:r>
          </w:p>
        </w:tc>
        <w:tc>
          <w:tcPr>
            <w:tcW w:w="3855" w:type="dxa"/>
            <w:vAlign w:val="center"/>
          </w:tcPr>
          <w:p>
            <w:r>
              <w:t>7 календарных дней</w:t>
            </w:r>
          </w:p>
        </w:tc>
      </w:tr>
      <w:tr w:rsidR="00AA4D37">
        <w:trPr>
          <w:jc w:val="center"/>
        </w:trPr>
        <w:tc>
          <w:tcPr>
            <w:tcW w:w="1134" w:type="dxa"/>
            <w:vAlign w:val="center"/>
          </w:tcPr>
          <w:p>
            <w:r>
              <w:t>3</w:t>
            </w:r>
          </w:p>
        </w:tc>
        <w:tc>
          <w:tcPr>
            <w:tcW w:w="3969" w:type="dxa"/>
            <w:vAlign w:val="center"/>
          </w:tcPr>
          <w:p>
            <w:r>
              <w:t>10 080 000</w:t>
            </w:r>
          </w:p>
        </w:tc>
        <w:tc>
          <w:tcPr>
            <w:tcW w:w="3855" w:type="dxa"/>
            <w:vAlign w:val="center"/>
          </w:tcPr>
          <w:p>
            <w:r>
              <w:t>7 календарных дней</w:t>
            </w:r>
          </w:p>
        </w:tc>
      </w:tr>
      <w:tr w:rsidR="00AA4D37">
        <w:trPr>
          <w:jc w:val="center"/>
        </w:trPr>
        <w:tc>
          <w:tcPr>
            <w:tcW w:w="1134" w:type="dxa"/>
            <w:vAlign w:val="center"/>
          </w:tcPr>
          <w:p>
            <w:r>
              <w:t>4</w:t>
            </w:r>
          </w:p>
        </w:tc>
        <w:tc>
          <w:tcPr>
            <w:tcW w:w="3969" w:type="dxa"/>
            <w:vAlign w:val="center"/>
          </w:tcPr>
          <w:p>
            <w:r>
              <w:t>8 820 000</w:t>
            </w:r>
          </w:p>
        </w:tc>
        <w:tc>
          <w:tcPr>
            <w:tcW w:w="3855" w:type="dxa"/>
            <w:vAlign w:val="center"/>
          </w:tcPr>
          <w:p>
            <w:r>
              <w:t>7 календарных дней</w:t>
            </w:r>
          </w:p>
        </w:tc>
      </w:tr>
      <w:tr>
        <w:tc>
          <w:tcPr>
            <w:tcW w:type="dxa" w:w="1134"/>
          </w:tcPr>
          <w:p>
            <w:r>
              <w:t>5</w:t>
            </w:r>
          </w:p>
        </w:tc>
        <w:tc>
          <w:tcPr>
            <w:tcW w:type="dxa" w:w="3969"/>
          </w:tcPr>
          <w:p>
            <w:r>
              <w:t>8 000 000</w:t>
            </w:r>
          </w:p>
        </w:tc>
        <w:tc>
          <w:tcPr>
            <w:tcW w:type="dxa" w:w="3855"/>
          </w:tcPr>
          <w:p>
            <w:r>
              <w:t>7 календарных дней (цена отсечения)</w:t>
            </w:r>
          </w:p>
        </w:tc>
      </w:tr>
    </w:tbl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7.4. Размер задатка при продаже посредством публичного предложения составляет 10 % от цены продажи Лота № 1, действующей в соответствующем периоде.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7.5. Победитель торгов посредством публичного предложения определяется по правилам пункта 4 статьи 139 Закона о банкротстве: при наличии нескольких заявок преимущество имеет заявка с наиболее высокой предложенной ценой, а при равенстве предложений - заявка, поступившая ранее.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7.6. При отсутствии заявок по цене отсечения и если предмет залога не оставлен за собой в установленном законом порядке дальнейшая судьба имущества определяется в соответствии с Законом о банкротстве. При необходимости изменения цены отсечения или иных существенных условий реализации изменения определяются Залоговыми кредиторами; разногласия разрешаются арбитражным судом.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lastRenderedPageBreak/>
        <w:t>8. Заявки, задаток и допуск к торгам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8.1. Заявка на участие в торгах подается в электронной форме посредством электронной торговой площадки и должна соответствовать требованиям Закона о банкротстве, регламента электронной площадки и сообщения о проведении торгов.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8.2. К заявке прилагаются документы, предусмотренные законодательством и регламентом электронной площадки. Заявитель должен обеспечить поступление задатка в размере и в срок, установленные сообщением о торгах.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8.3. Задатки участников, не признанных победителями, подлежат возврату в сроки, установленные Законом о банкротстве и договором о задатке. Задаток победителя засчитывается в счет цены приобретения имущества.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9. Заключение договора и оплата имущества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9.1. В течение пяти дней с даты подписания протокола о результатах торгов финансовый управляющий направляет победителю предложение заключить договор купли-продажи с приложением проекта договора в соответствии с представленным победителем предложением о цене.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9.2. Победитель обязан подписать договор купли-продажи в течение пяти дней с даты получения предложения финансового управляющего, если иной срок не предусмотрен императивными нормами Закона о банкротстве.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9.3. Оплата приобретенного имущества производится победителем в течение 30 дней со дня подписания договора купли-продажи путем перечисления денежных средств на банковский счет, указанный финансовым управляющим. Передача имущества покупателю осуществляется после полной оплаты цены.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9.4. Расходы по государственной регистрации перехода права собственности и иные расходы приобретателя, связанные с оформлением приобретенного имущества, несет покупатель, если иное прямо не установлено законом.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10. Порядок распределения денежных средств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10.1. Денежные средства, вырученные от реализации предмета залога, распределяются в соответствии со статьями 213.27 и 213.27-1 Закона о банкротстве с учетом особенностей дела о банкротстве умершего гражданина. Расходы, предусмотренные пунктом 6 статьи 138 Закона о банкротстве, покрываются из выручки до ее распределения.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10.2. При распределении выручки финансовый управляющий учитывает требования обоих Залоговых кредиторов, очередность их залоговых прав и установленную судом очередность удовлетворения требований, в том числе отдельный учет финансовых санкций согласно пункту 3 статьи 137 Закона о банкротстве. Настоящее Положение не устанавливает старшинство залогов и доли кредиторов в выручке.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10.3. Применимость специальных правил статьи 213.27-1 Закона о банкротстве к настоящему имуществу и состав получателей оставшейся выручки определяются финансовым управляющим с учетом сведений о жилом помещении, наследниках и судебных актов по делу. При возникновении разногласий вопрос разрешается арбитражным судом.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lastRenderedPageBreak/>
        <w:t>11. Ознакомление с имуществом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11.1. Ознакомление с имуществом осуществляется по предварительному согласованию с финансовым управляющим по контактным данным, указанным в сообщении о проведении торгов.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11.2. Финансовый управляющий предоставляет заинтересованным лицам имеющиеся документы, характеризующие правовой и фактический статус имущества, в том числе выписку ЕГРН и сведения жилищного учета, в объеме, допускаемом законодательством о персональных данных.</w:t>
      </w:r>
    </w:p>
    <w:p w:rsidR="00AA4D37" w:rsidRPr="00984959" w:rsidRDefault="00E242D7">
      <w:pPr>
        <w:keepNext/>
        <w:keepLines/>
        <w:spacing w:before="120"/>
        <w:rPr>
          <w:lang w:val="ru-RU"/>
        </w:rPr>
      </w:pPr>
      <w:r w:rsidRPr="00984959">
        <w:rPr>
          <w:b/>
          <w:lang w:val="ru-RU"/>
        </w:rPr>
        <w:t>12. Заключительные положения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  <w:t>12.1. Вопросы, не урегулированные настоящим Положением, разрешаются в соответствии с Законом о банкротстве и иными применимыми нормативными правовыми актами Российской Федерации.</w:t>
      </w:r>
    </w:p>
    <w:p w:rsidR="00AA4D37" w:rsidRPr="00984959" w:rsidRDefault="00E242D7">
      <w:pPr>
        <w:keepLines/>
        <w:ind w:firstLine="567"/>
        <w:jc w:val="both"/>
        <w:rPr>
          <w:lang w:val="ru-RU"/>
        </w:rPr>
      </w:pPr>
      <w:r w:rsidRPr="00984959">
        <w:rPr>
          <w:lang w:val="ru-RU"/>
        </w:rPr>
      </w:r>
      <w:r/>
      <w:r>
        <w:t>12.2. Настоящее Положение вступает в силу после согласования Залоговыми кредиторами и направления финансовому управляющему. Изменение существенных условий реализации предмета залога согласуется Залоговыми кредиторами, а при наличии разногласий осуществляется в судебном порядке.</w:t>
      </w:r>
    </w:p>
    <w:p w:rsidR="00AA4D37" w:rsidRDefault="00AA4D37">
      <w:pPr>
        <w:keepLines/>
        <w:jc w:val="both"/>
        <w:rPr>
          <w:lang w:val="ru-RU"/>
        </w:rPr>
      </w:pPr>
    </w:p>
    <w:p w:rsidR="00984959" w:rsidRDefault="00984959">
      <w:pPr>
        <w:keepLines/>
        <w:jc w:val="both"/>
        <w:rPr>
          <w:b/>
          <w:lang w:val="ru-RU"/>
        </w:rPr>
      </w:pPr>
    </w:p>
    <w:p w:rsidR="00984959" w:rsidRDefault="000133C2">
      <w:pPr>
        <w:keepLines/>
        <w:jc w:val="both"/>
        <w:rPr>
          <w:b/>
          <w:lang w:val="ru-RU"/>
        </w:rPr>
      </w:pPr>
      <w:r>
        <w:rPr>
          <w:b/>
          <w:noProof/>
          <w:lang w:val="ru-RU"/>
        </w:rPr>
      </w:r>
    </w:p>
    <w:p w:rsidR="00984959" w:rsidRDefault="00984959">
      <w:pPr>
        <w:keepLines/>
        <w:jc w:val="both"/>
        <w:rPr>
          <w:b/>
          <w:lang w:val="ru-RU"/>
        </w:rPr>
      </w:pPr>
    </w:p>
    <w:p w:rsidR="00984959" w:rsidRDefault="00984959">
      <w:pPr>
        <w:keepLines/>
        <w:jc w:val="both"/>
        <w:rPr>
          <w:b/>
          <w:lang w:val="ru-RU"/>
        </w:rPr>
      </w:pPr>
    </w:p>
    <w:p w:rsidR="00984959" w:rsidRDefault="00984959">
      <w:pPr>
        <w:keepLines/>
        <w:jc w:val="both"/>
        <w:rPr>
          <w:b/>
          <w:lang w:val="ru-RU"/>
        </w:rPr>
      </w:pPr>
    </w:p>
    <w:p w:rsidR="00984959" w:rsidRPr="00984959" w:rsidRDefault="00984959">
      <w:pPr>
        <w:keepLines/>
        <w:jc w:val="both"/>
        <w:rPr>
          <w:b/>
          <w:lang w:val="ru-RU"/>
        </w:rPr>
      </w:pPr>
      <w:r w:rsidRPr="00984959">
        <w:rPr>
          <w:b/>
          <w:lang w:val="ru-RU"/>
        </w:rPr>
        <w:t>Организатор торгов</w:t>
        <w:tab/>
        <w:tab/>
        <w:tab/>
        <w:tab/>
        <w:tab/>
        <w:tab/>
        <w:t xml:space="preserve">          </w:t>
        <w:tab/>
        <w:t xml:space="preserve">          Балакин А.И.</w:t>
      </w:r>
      <w:r w:rsidRPr="00984959">
        <w:rPr>
          <w:b/>
          <w:lang w:val="ru-RU"/>
        </w:rPr>
      </w:r>
      <w:r w:rsidRPr="00984959">
        <w:rPr>
          <w:b/>
          <w:lang w:val="ru-RU"/>
        </w:rPr>
      </w:r>
      <w:r w:rsidRPr="00984959">
        <w:rPr>
          <w:b/>
          <w:lang w:val="ru-RU"/>
        </w:rPr>
      </w:r>
      <w:r w:rsidRPr="00984959">
        <w:rPr>
          <w:b/>
          <w:lang w:val="ru-RU"/>
        </w:rPr>
      </w:r>
      <w:r w:rsidRPr="00984959">
        <w:rPr>
          <w:b/>
          <w:lang w:val="ru-RU"/>
        </w:rPr>
      </w:r>
      <w:r w:rsidRPr="00984959">
        <w:rPr>
          <w:b/>
          <w:lang w:val="ru-RU"/>
        </w:rPr>
      </w:r>
      <w:r w:rsidRPr="00984959">
        <w:rPr>
          <w:b/>
          <w:lang w:val="ru-RU"/>
        </w:rPr>
      </w:r>
      <w:bookmarkStart w:id="0" w:name="_GoBack"/>
      <w:bookmarkEnd w:id="0"/>
    </w:p>
    <w:sectPr w:rsidR="00984959" w:rsidRPr="00984959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1A6B" w:rsidRDefault="00961A6B">
      <w:pPr>
        <w:spacing w:line="240" w:lineRule="auto"/>
      </w:pPr>
      <w:r>
        <w:separator/>
      </w:r>
    </w:p>
  </w:endnote>
  <w:endnote w:type="continuationSeparator" w:id="0">
    <w:p w:rsidR="00961A6B" w:rsidRDefault="00961A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D37" w:rsidRDefault="00E242D7">
    <w:pPr>
      <w:pStyle w:val="a7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984959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1A6B" w:rsidRDefault="00961A6B">
      <w:pPr>
        <w:spacing w:line="240" w:lineRule="auto"/>
      </w:pPr>
      <w:r>
        <w:separator/>
      </w:r>
    </w:p>
  </w:footnote>
  <w:footnote w:type="continuationSeparator" w:id="0">
    <w:p w:rsidR="00961A6B" w:rsidRDefault="00961A6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3C2"/>
    <w:rsid w:val="00034616"/>
    <w:rsid w:val="0006063C"/>
    <w:rsid w:val="0015074B"/>
    <w:rsid w:val="0029639D"/>
    <w:rsid w:val="00326F90"/>
    <w:rsid w:val="00961A6B"/>
    <w:rsid w:val="00984959"/>
    <w:rsid w:val="00AA1D8D"/>
    <w:rsid w:val="00AA4D37"/>
    <w:rsid w:val="00B47730"/>
    <w:rsid w:val="00CB0664"/>
    <w:rsid w:val="00E242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BC8D5AF-0951-734B-986D-036D38CD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Arial" w:eastAsia="Arial" w:hAnsi="Arial" w:cs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99B248-598E-9341-87D0-74C824DB2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реализации имущества Тиллобердиевой М.Ё.</dc:title>
  <dc:subject>Дело № А40-246550/24-120-712 Ф</dc:subject>
  <dc:creator>Microsoft Office User</dc:creator>
  <cp:keywords/>
  <dc:description>generated by python-docx</dc:description>
  <cp:lastModifiedBy>Microsoft Office User</cp:lastModifiedBy>
  <cp:revision>3</cp:revision>
  <dcterms:created xsi:type="dcterms:W3CDTF">2026-08-31T15:13:00Z</dcterms:created>
  <dcterms:modified xsi:type="dcterms:W3CDTF">2026-08-31T15:17:00Z</dcterms:modified>
  <cp:category/>
</cp:coreProperties>
</file>