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tbl>
      <w:tblPr>
        <w:tblStyle w:val="TableNormal_0"/>
        <w:tblW w:w="0" w:type="auto"/>
        <w:tblInd w:w="9" w:type="dxa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Look w:val="01E0"/>
      </w:tblPr>
      <w:tblGrid>
        <w:gridCol w:w="9570"/>
      </w:tblGrid>
      <w:tr>
        <w:tblPrEx>
          <w:tblW w:w="0" w:type="auto"/>
          <w:tblInd w:w="9" w:type="dxa"/>
          <w:tblBorders>
            <w:top w:val="none" w:sz="4" w:space="0"/>
            <w:left w:val="none" w:sz="4" w:space="0"/>
            <w:bottom w:val="none" w:sz="4" w:space="0"/>
            <w:right w:val="none" w:sz="4" w:space="0"/>
            <w:insideH w:val="none" w:sz="4" w:space="0"/>
            <w:insideV w:val="none" w:sz="4" w:space="0"/>
          </w:tblBorders>
          <w:tblLayout w:type="fixed"/>
          <w:tblLook w:val="01E0"/>
        </w:tblPrEx>
        <w:trPr>
          <w:trHeight w:val="399"/>
        </w:trPr>
        <w:tc>
          <w:tcPr>
            <w:cnfStyle w:val="101000000000"/>
            <w:tcW w:w="9570" w:type="dxa"/>
            <w:tcBorders>
              <w:bottom w:val="single" w:color="000000" w:sz="4" w:space="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5"/>
                <w:sz w:val="19"/>
              </w:rPr>
              <w:t>Пономаревой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6"/>
                <w:sz w:val="19"/>
              </w:rPr>
              <w:t>Ольги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5"/>
                <w:sz w:val="19"/>
              </w:rPr>
              <w:t>Сергеевны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>
        <w:tblPrEx>
          <w:tblW w:w="0" w:type="auto"/>
          <w:tblInd w:w="9" w:type="dxa"/>
          <w:tblLayout w:type="fixed"/>
          <w:tblLook w:val="01E0"/>
        </w:tblPrEx>
        <w:trPr>
          <w:trHeight w:val="657"/>
        </w:trPr>
        <w:tc>
          <w:tcPr>
            <w:cnfStyle w:val="011000000000"/>
            <w:tcW w:w="9570" w:type="dxa"/>
            <w:tcBorders>
              <w:top w:val="single" w:color="000000" w:sz="4" w:space="0"/>
            </w:tcBorders>
          </w:tcPr>
          <w:p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r>
              <w:fldChar w:fldCharType="begin"/>
            </w:r>
            <w:r>
              <w:instrText xml:space="preserve">HYPERLINK "mailto:bankrot@au.spb.ru" </w:instrText>
            </w:r>
            <w:r>
              <w:fldChar w:fldCharType="separate"/>
            </w:r>
            <w:r>
              <w:rPr>
                <w:sz w:val="19"/>
              </w:rPr>
              <w:t>bankrot@au.spb.ru</w:t>
            </w:r>
            <w:r>
              <w:fldChar w:fldCharType="end"/>
            </w:r>
          </w:p>
        </w:tc>
      </w:tr>
    </w:tbl>
    <w:p>
      <w:pPr>
        <w:pStyle w:val="BodyText"/>
        <w:ind w:left="0"/>
        <w:rPr>
          <w:b/>
          <w:sz w:val="24"/>
        </w:rPr>
      </w:pPr>
    </w:p>
    <w:p>
      <w:pPr>
        <w:pStyle w:val="BodyText"/>
        <w:spacing w:before="91"/>
        <w:ind w:left="0"/>
        <w:rPr>
          <w:b/>
          <w:sz w:val="24"/>
        </w:rPr>
      </w:pPr>
    </w:p>
    <w:p>
      <w:pPr>
        <w:pStyle w:val="Heading1"/>
        <w:spacing w:before="1" w:line="346" w:lineRule="exact"/>
        <w:ind w:right="1305"/>
        <w:rPr/>
      </w:pPr>
      <w:r>
        <w:rPr>
          <w:spacing w:val="-5"/>
        </w:rPr>
        <w:t>АКТ</w:t>
      </w:r>
    </w:p>
    <w:p>
      <w:pPr>
        <w:spacing w:line="329" w:lineRule="exact"/>
        <w:ind w:right="277"/>
        <w:jc w:val="center"/>
        <w:rPr>
          <w:b/>
          <w:sz w:val="24"/>
        </w:rPr>
      </w:pPr>
      <w:r>
        <w:rPr>
          <w:b/>
          <w:sz w:val="24"/>
        </w:rPr>
        <w:t>приема-</w:t>
      </w:r>
      <w:r>
        <w:rPr>
          <w:b/>
          <w:spacing w:val="-2"/>
          <w:sz w:val="24"/>
        </w:rPr>
        <w:t>передачи</w:t>
      </w:r>
    </w:p>
    <w:p>
      <w:pPr>
        <w:pStyle w:val="BodyText"/>
        <w:tabs>
          <w:tab w:val="left" w:pos="7038"/>
          <w:tab w:val="left" w:pos="7847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  <w:t>«</w:t>
      </w:r>
      <w:r>
        <w:rPr>
          <w:rFonts w:ascii="Verdana" w:hAnsi="Verdana"/>
          <w:position w:val="-1"/>
        </w:rPr>
        <w:drawing xmlns:mc="http://schemas.openxmlformats.org/markup-compatibility/2006">
          <wp:inline distT="0" distB="0" distL="0" distR="0">
            <wp:extent cx="90220" cy="6502"/>
            <wp:effectExtent l="0" t="0" r="0" b="0"/>
            <wp:docPr id="19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2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</w:rPr>
        <w:t>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</w:rPr>
        <w:t>2026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  <w:spacing w:val="-5"/>
        </w:rPr>
        <w:t>г.</w:t>
      </w:r>
    </w:p>
    <w:p>
      <w:pPr>
        <w:pStyle w:val="BodyText"/>
        <w:spacing w:before="103"/>
        <w:ind w:left="0"/>
        <w:rPr>
          <w:rFonts w:ascii="Verdana" w:hAnsi="Verdana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740"/>
        <w:jc w:val="left"/>
        <w:rPr>
          <w:rFonts w:ascii="Verdana" w:hAnsi="Verdana"/>
          <w:color w:val="000000"/>
          <w:sz w:val="16"/>
          <w:szCs w:val="16"/>
          <w:rtl w:val="off"/>
          <w:lang w:val="en-US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 xml:space="preserve">Решением АРБИТРАЖНОГО СУДА города Санкт-Петербурга и Ленинградской области от 21.02.2026 г. по делу № А56-104237/2025 Пономарева Ольга Сергеевна (дата рождения: 26.04.1983 г., место рождения: с. Чаши Каргапольского р-на Курганской обл., СНИЛС 042-718-205 35, ИНН 450803056412, адрес регистрации по месту жительства: 197376, г. Санкт-Петербург, г. Санкт-Петербург, пр-кт Авиаконструкторов, д. 63, стр. 1, кв. 505) признана несостоятельной (банкротом) и введена процедура реализации имущества гражданина.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740"/>
        <w:jc w:val="left"/>
        <w:rPr>
          <w:rFonts w:ascii="Verdana" w:hAnsi="Verdana"/>
          <w:color w:val="000000"/>
          <w:sz w:val="16"/>
          <w:szCs w:val="16"/>
          <w:rtl w:val="off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740"/>
        <w:jc w:val="left"/>
        <w:rPr>
          <w:rFonts w:ascii="Verdana" w:hAnsi="Verdana"/>
          <w:color w:val="000000"/>
          <w:sz w:val="16"/>
          <w:szCs w:val="16"/>
          <w:rtl w:val="off"/>
          <w:lang w:val="en-US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  <w:r>
        <w:rPr>
          <w:rFonts w:ascii="Verdana" w:hAnsi="Verdana"/>
          <w:color w:val="000000"/>
          <w:sz w:val="16"/>
          <w:szCs w:val="16"/>
          <w:rtl w:val="off"/>
          <w:lang w:val="en-US"/>
        </w:rPr>
        <w:t xml:space="preserve"> </w:t>
      </w:r>
    </w:p>
    <w:p>
      <w:pPr>
        <w:tabs>
          <w:tab w:val="left" w:pos="6009"/>
        </w:tabs>
        <w:spacing w:before="215" w:line="216" w:lineRule="auto"/>
        <w:ind w:left="3" w:right="285" w:firstLine="720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соответствии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Договором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купли-продажи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б/н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от</w:t>
      </w:r>
      <w:r>
        <w:rPr>
          <w:rFonts w:ascii="Verdana" w:hAnsi="Verdana"/>
          <w:spacing w:val="40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</w:rPr>
        <w:t>«</w:t>
      </w:r>
      <w:r>
        <w:rPr>
          <w:rFonts w:ascii="Verdana" w:hAnsi="Verdana"/>
          <w:color w:val="004e87"/>
          <w:spacing w:val="-1"/>
          <w:position w:val="-1"/>
          <w:sz w:val="16"/>
          <w:szCs w:val="16"/>
        </w:rPr>
        <w:drawing xmlns:mc="http://schemas.openxmlformats.org/markup-compatibility/2006">
          <wp:inline distT="0" distB="0" distL="0" distR="0">
            <wp:extent cx="90220" cy="6502"/>
            <wp:effectExtent l="0" t="0" r="0" b="0"/>
            <wp:docPr id="20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3"/>
                    <pic:cNvPicPr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220" cy="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4e87"/>
          <w:sz w:val="16"/>
          <w:szCs w:val="16"/>
        </w:rPr>
        <w:t>»</w:t>
      </w:r>
      <w:r>
        <w:rPr>
          <w:rFonts w:ascii="Verdana" w:hAnsi="Verdana"/>
          <w:color w:val="004e87"/>
          <w:spacing w:val="44"/>
          <w:sz w:val="16"/>
          <w:szCs w:val="16"/>
        </w:rPr>
        <w:t xml:space="preserve"> </w:t>
      </w:r>
      <w:r>
        <w:rPr>
          <w:rFonts w:ascii="Verdana" w:hAnsi="Verdana"/>
          <w:color w:val="004e87"/>
          <w:sz w:val="16"/>
          <w:szCs w:val="16"/>
          <w:u w:val="single" w:color="004d86"/>
        </w:rPr>
        <w:tab/>
      </w:r>
      <w:r>
        <w:rPr>
          <w:rFonts w:ascii="Verdana" w:hAnsi="Verdana"/>
          <w:color w:val="004e87"/>
          <w:sz w:val="16"/>
          <w:szCs w:val="16"/>
        </w:rPr>
        <w:t xml:space="preserve"> 2026 </w:t>
      </w:r>
      <w:r>
        <w:rPr>
          <w:rFonts w:ascii="Verdana" w:hAnsi="Verdana"/>
          <w:sz w:val="16"/>
          <w:szCs w:val="16"/>
        </w:rPr>
        <w:t xml:space="preserve">г </w:t>
      </w:r>
      <w:r>
        <w:rPr>
          <w:rFonts w:ascii="Verdana" w:hAnsi="Verdana"/>
          <w:b/>
          <w:sz w:val="16"/>
          <w:szCs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  <w:szCs w:val="16"/>
        </w:rPr>
        <w:t>Степанова Романа Сергеевича, действующего на основании в</w:t>
      </w:r>
      <w:r>
        <w:rPr>
          <w:rFonts w:ascii="Verdana" w:hAnsi="Verdana"/>
          <w:sz w:val="16"/>
          <w:szCs w:val="16"/>
        </w:rPr>
        <w:t>ышеуказанных судебных актов и ФЗ «О несостоятельности (банкротстве)», именуемый Далее «</w:t>
      </w:r>
      <w:r>
        <w:rPr>
          <w:rFonts w:ascii="Verdana" w:hAnsi="Verdana"/>
          <w:b/>
          <w:sz w:val="16"/>
          <w:szCs w:val="16"/>
        </w:rPr>
        <w:t>Продавец</w:t>
      </w:r>
      <w:r>
        <w:rPr>
          <w:rFonts w:ascii="Verdana" w:hAnsi="Verdana"/>
          <w:sz w:val="16"/>
          <w:szCs w:val="16"/>
        </w:rPr>
        <w:t>», передал, а</w:t>
      </w:r>
    </w:p>
    <w:p>
      <w:pPr>
        <w:pStyle w:val="Heading2"/>
        <w:tabs>
          <w:tab w:val="left" w:pos="1808"/>
        </w:tabs>
        <w:spacing w:line="216" w:lineRule="auto"/>
        <w:ind w:right="291" w:firstLine="720"/>
        <w:jc w:val="both"/>
        <w:rPr>
          <w:rFonts w:ascii="Verdana" w:hAnsi="Verdana"/>
        </w:rPr>
      </w:pPr>
      <w:r>
        <w:rPr>
          <w:rFonts w:ascii="Verdana" w:hAnsi="Verdana"/>
          <w:b w:val="off"/>
          <w:u w:val="single"/>
        </w:rPr>
        <w:tab/>
      </w:r>
      <w:r>
        <w:rPr>
          <w:rFonts w:ascii="Verdana" w:hAnsi="Verdana"/>
          <w:b w:val="off"/>
          <w:spacing w:val="-10"/>
        </w:rPr>
        <w:t xml:space="preserve"> </w:t>
      </w:r>
      <w:r>
        <w:rPr>
          <w:rFonts w:ascii="Verdana" w:hAnsi="Verdana"/>
        </w:rPr>
        <w:t>паспортные данные дата рождения место рождения, именуемый (-</w:t>
      </w:r>
      <w:r>
        <w:rPr>
          <w:rFonts w:ascii="Verdana" w:hAnsi="Verdana"/>
        </w:rPr>
        <w:t>ая</w:t>
      </w:r>
      <w:r>
        <w:rPr>
          <w:rFonts w:ascii="Verdana" w:hAnsi="Verdana"/>
        </w:rPr>
        <w:t>) в дальнейшем «Покупатель», с другой стороны</w:t>
      </w:r>
    </w:p>
    <w:p>
      <w:pPr>
        <w:pStyle w:val="BodyText"/>
        <w:spacing w:line="216" w:lineRule="auto"/>
        <w:ind w:right="292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осмотрел и принял следующее имущество: </w:t>
      </w:r>
      <w:r>
        <w:rPr>
          <w:rFonts w:ascii="Verdana" w:hAnsi="Verdana"/>
          <w:sz w:val="16"/>
          <w:szCs w:val="16"/>
        </w:rPr>
        <w:t xml:space="preserve">автотранспортное средство со следующими характеристиками: марка и(или) модель: </w:t>
      </w:r>
      <w:r>
        <w:rPr>
          <w:rFonts w:ascii="Verdana" w:hAnsi="Verdana"/>
          <w:color w:val="333333"/>
          <w:sz w:val="16"/>
          <w:szCs w:val="16"/>
        </w:rPr>
        <w:t>БМВ/BMW</w:t>
      </w:r>
      <w:r>
        <w:rPr>
          <w:rFonts w:ascii="Verdana" w:hAnsi="Verdana"/>
          <w:color w:val="333333"/>
          <w:spacing w:val="-1"/>
          <w:sz w:val="16"/>
          <w:szCs w:val="16"/>
        </w:rPr>
        <w:t xml:space="preserve"> </w:t>
      </w:r>
      <w:r>
        <w:rPr>
          <w:rFonts w:ascii="Verdana" w:hAnsi="Verdana"/>
          <w:color w:val="333333"/>
          <w:sz w:val="16"/>
          <w:szCs w:val="16"/>
        </w:rPr>
        <w:t>520D,</w:t>
      </w:r>
      <w:r>
        <w:rPr>
          <w:rFonts w:ascii="Verdana" w:hAnsi="Verdana"/>
          <w:color w:val="333333"/>
          <w:spacing w:val="-1"/>
          <w:sz w:val="16"/>
          <w:szCs w:val="16"/>
        </w:rPr>
        <w:t xml:space="preserve"> </w:t>
      </w:r>
      <w:r>
        <w:rPr>
          <w:rFonts w:ascii="Verdana" w:hAnsi="Verdana"/>
          <w:color w:val="333333"/>
          <w:sz w:val="16"/>
          <w:szCs w:val="16"/>
        </w:rPr>
        <w:t>2019,</w:t>
      </w:r>
      <w:r>
        <w:rPr>
          <w:rFonts w:ascii="Verdana" w:hAnsi="Verdana"/>
          <w:color w:val="333333"/>
          <w:spacing w:val="-1"/>
          <w:sz w:val="16"/>
          <w:szCs w:val="16"/>
        </w:rPr>
        <w:t xml:space="preserve"> </w:t>
      </w:r>
      <w:r>
        <w:rPr>
          <w:rFonts w:ascii="Verdana" w:hAnsi="Verdana"/>
          <w:color w:val="333333"/>
          <w:spacing w:val="-4"/>
          <w:sz w:val="16"/>
          <w:szCs w:val="16"/>
        </w:rPr>
        <w:t xml:space="preserve">VIN: </w:t>
      </w:r>
      <w:r>
        <w:rPr>
          <w:rFonts w:ascii="Verdana" w:hAnsi="Verdana"/>
          <w:color w:val="333333"/>
          <w:spacing w:val="-2"/>
          <w:sz w:val="16"/>
          <w:szCs w:val="16"/>
        </w:rPr>
        <w:t>WBAJC31090B346402</w:t>
      </w:r>
      <w:r>
        <w:rPr>
          <w:rFonts w:ascii="Verdana" w:hAnsi="Verdana"/>
          <w:sz w:val="16"/>
          <w:szCs w:val="16"/>
        </w:rPr>
        <w:t>.</w:t>
      </w:r>
    </w:p>
    <w:p>
      <w:pPr>
        <w:pStyle w:val="BodyText"/>
        <w:spacing w:before="187"/>
        <w:ind w:left="0"/>
        <w:rPr>
          <w:rFonts w:ascii="Verdana" w:hAnsi="Verdana"/>
        </w:rPr>
      </w:pPr>
    </w:p>
    <w:p>
      <w:pPr>
        <w:pStyle w:val="BodyText"/>
        <w:spacing w:line="216" w:lineRule="auto"/>
        <w:ind w:right="290" w:firstLine="720"/>
        <w:jc w:val="both"/>
        <w:rPr>
          <w:rFonts w:ascii="Verdana" w:hAnsi="Verdana"/>
          <w:spacing w:val="-2"/>
        </w:rPr>
      </w:pPr>
      <w:r>
        <w:rPr>
          <w:rFonts w:ascii="Verdana" w:hAnsi="Verdana"/>
        </w:rPr>
        <w:t xml:space="preserve">Стороны не имеют взаимных претензий в связи с исполнением обязательств по вышеуказанному договору </w:t>
      </w:r>
      <w:r>
        <w:rPr>
          <w:rFonts w:ascii="Verdana" w:hAnsi="Verdana"/>
          <w:spacing w:val="-2"/>
        </w:rPr>
        <w:t>купли-продажи.</w:t>
      </w:r>
    </w:p>
    <w:p>
      <w:pPr>
        <w:pStyle w:val="BodyText"/>
        <w:spacing w:line="216" w:lineRule="auto"/>
        <w:ind w:right="290" w:firstLine="720"/>
        <w:jc w:val="both"/>
        <w:rPr>
          <w:rFonts w:ascii="Verdana" w:hAnsi="Verdana"/>
        </w:rPr>
      </w:pPr>
    </w:p>
    <w:p>
      <w:pPr>
        <w:pStyle w:val="Heading2"/>
        <w:spacing w:line="240" w:lineRule="auto"/>
        <w:rPr>
          <w:rFonts w:ascii="Verdana" w:hAnsi="Verdana"/>
        </w:rPr>
      </w:pPr>
      <w:r>
        <w:rPr>
          <w:rFonts w:ascii="Verdana" w:hAnsi="Verdana"/>
        </w:rPr>
        <w:t xml:space="preserve">  </w:t>
      </w: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 Степанов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pStyle w:val="BodyText"/>
        <w:spacing w:before="191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sz w:val="2"/>
        </w:rPr>
        <mc:AlternateContent>
          <mc:Choice Requires="wpg">
            <w:drawing xmlns:mc="http://schemas.openxmlformats.org/markup-compatibility/2006">
              <wp:inline distT="0" distB="0" distL="0" distR="0">
                <wp:extent cx="1029969" cy="6350"/>
                <wp:effectExtent l="0" t="0" r="0" b="0"/>
                <wp:docPr id="2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8" name="Group 1"/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rect l="l" t="t" r="r" b="b"/>
                            <a:pathLst>
                              <a:path w="1029969" h="0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C87B8F6-8BE2-C993-38A6A7DA1EFC" coordsize="1029969,6350" style="width:81.0999pt;height:0.5pt;margin-top:0pt;margin-left:0pt;mso-wrap-distance-left:0pt;mso-wrap-distance-right:0pt;mso-wrap-distance-top:0pt;mso-wrap-distance-bottom:0pt;mso-position-horizontal-relative:margin;mso-position-vertical-relative:margin;rotation:0.000000;z-index:0;">
                <v:shape id="08885994-0000-9CD0-7EB61DB7865B" coordsize="21600,21600" style="width:1029969;height:1270;left:0;top:2967;rotation:0.000000;" strokecolor="#000000" strokeweight="0.467244pt" path="m0,0 l1029879,0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>
      <w:pPr>
        <w:spacing w:before="174"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>
      <w:pPr>
        <w:pStyle w:val="BodyText"/>
        <w:spacing w:before="282"/>
        <w:ind w:left="0"/>
        <w:rPr>
          <w:rFonts w:ascii="Verdana" w:hAnsi="Verdana"/>
          <w:b/>
        </w:rPr>
      </w:pPr>
    </w:p>
    <w:sectPr>
      <w:type w:val="nextPage"/>
      <w:pgSz w:w="11910" w:h="16840"/>
      <w:pgMar w:top="320" w:right="566" w:bottom="280" w:left="1700" w:header="720" w:footer="720" w:gutter="0"/>
      <w:pgNumType w:start="2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3" w:hanging="696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0"/>
      <w:numFmt w:val="bullet"/>
      <w:lvlText w:val="•"/>
      <w:lvlJc w:val="left"/>
      <w:pPr>
        <w:ind w:left="1612" w:hanging="696"/>
      </w:pPr>
      <w:rPr>
        <w:rFonts w:hint="default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2504" w:hanging="696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3396" w:hanging="696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4288" w:hanging="696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5180" w:hanging="696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6072" w:hanging="696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964" w:hanging="696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856" w:hanging="696"/>
      </w:pPr>
      <w:rPr>
        <w:rFonts w:hint="default"/>
        <w:lang w:val="ru-RU" w:bidi="ar-SA" w:eastAsia="en-US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ind w:left="3" w:hanging="175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1"/>
      <w:numFmt w:val="decimal"/>
      <w:lvlText w:val="%1.%2."/>
      <w:lvlJc w:val="left"/>
      <w:pPr>
        <w:ind w:left="3" w:hanging="327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1928" w:hanging="327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2892" w:hanging="327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3856" w:hanging="327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4820" w:hanging="327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5784" w:hanging="327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748" w:hanging="327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712" w:hanging="327"/>
      </w:pPr>
      <w:rPr>
        <w:rFonts w:hint="default"/>
        <w:lang w:val="ru-RU" w:bidi="ar-SA" w:eastAsia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7"/>
    <w:rsid w:val="008900F0"/>
    <w:rsid w:val="00A701C7"/>
    <w:rsid w:val="00EF4F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156072"/>
  <w15:docId w15:val="{E3E2C203-6477-406C-9005-01FF388A53E4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  <w:rPr>
      <w:rFonts w:ascii="Noto Sans" w:cs="Noto Sans" w:eastAsia="Noto Sans" w:hAnsi="Noto Sans"/>
      <w:lang w:val="ru-RU"/>
    </w:rPr>
  </w:style>
  <w:style w:type="paragraph" w:styleId="Heading1">
    <w:name w:val="Heading 1"/>
    <w:basedOn w:val="Normal"/>
    <w:link w:val="Заголовок1Знак"/>
    <w:uiPriority w:val="9"/>
    <w:qFormat w:val="on"/>
    <w:pPr>
      <w:ind w:left="1028" w:right="277"/>
      <w:jc w:val="center"/>
    </w:pPr>
    <w:rPr>
      <w:b/>
      <w:bCs/>
      <w:sz w:val="24"/>
      <w:szCs w:val="24"/>
    </w:rPr>
  </w:style>
  <w:style w:type="paragraph" w:styleId="Heading2">
    <w:name w:val="Heading 2"/>
    <w:basedOn w:val="Normal"/>
    <w:link w:val="Заголовок2Знак"/>
    <w:uiPriority w:val="9"/>
    <w:unhideWhenUsed w:val="on"/>
    <w:qFormat w:val="on"/>
    <w:pPr>
      <w:spacing w:line="231" w:lineRule="exact"/>
      <w:ind w:left="3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Заголовок3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Заголовок4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Заголовок5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Заголовок6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Заголовок7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Заголовок8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Заголовок9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pBdr>
        <w:bottom w:val="single" w:color="4f81bd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Цитата2Знак"/>
    <w:uiPriority w:val="29"/>
    <w:qFormat w:val="on"/>
    <w:rPr>
      <w:i/>
      <w:iCs/>
      <w:color w:val="000000" w:themeColor="text1"/>
    </w:rPr>
  </w:style>
  <w:style w:type="character" w:customStyle="1" w:styleId="Цитата2Знак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ВыделеннаяцитатаЗнак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Текстконцевой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ТекстЗнак"/>
    <w:uiPriority w:val="99"/>
    <w:semiHidden w:val="on"/>
    <w:unhideWhenUsed w:val="on"/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ВерхнийколонтитулЗнак"/>
    <w:uiPriority w:val="99"/>
    <w:unhideWhenUsed w:val="on"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_0">
    <w:name w:val="Table Normal_0"/>
    <w:uiPriority w:val="2"/>
    <w:semiHidden w:val="on"/>
    <w:unhideWhenUsed w:val="on"/>
    <w:qFormat w:val="on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 w:val="on"/>
    <w:pPr>
      <w:ind w:left="3"/>
    </w:pPr>
    <w:rPr>
      <w:sz w:val="16"/>
      <w:szCs w:val="16"/>
    </w:rPr>
  </w:style>
  <w:style w:type="paragraph" w:styleId="ListParagraph">
    <w:name w:val="List Paragraph"/>
    <w:basedOn w:val="Normal"/>
    <w:uiPriority w:val="1"/>
    <w:qFormat w:val="on"/>
    <w:pPr>
      <w:ind w:left="3" w:right="293" w:firstLine="720"/>
      <w:jc w:val="both"/>
    </w:pPr>
  </w:style>
  <w:style w:type="paragraph" w:customStyle="1" w:styleId="TableParagraph">
    <w:name w:val="Table Paragraph"/>
    <w:basedOn w:val="Normal"/>
    <w:uiPriority w:val="1"/>
    <w:qFormat w:val="on"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8" Type="http://schemas.openxmlformats.org/officeDocument/2006/relationships/numbering" Target="numbering.xml"/><Relationship Id="rId9" Type="http://schemas.openxmlformats.org/officeDocument/2006/relationships/styles" Target="styles.xml"/><Relationship Id="rId2" Type="http://schemas.openxmlformats.org/officeDocument/2006/relationships/webSettings" Target="webSettings.xml"/><Relationship Id="rId4" Type="http://schemas.openxmlformats.org/officeDocument/2006/relationships/hyperlink" Target="mailto:bankrot@au.spb.ru" TargetMode="Externa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Валерия Антонова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