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0"/>
        <w:tblW w:w="0" w:type="auto"/>
        <w:tblInd w:w="9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0"/>
      </w:tblGrid>
      <w:tr w:rsidR="00C76EE2" w14:paraId="33B7CE49" w14:textId="77777777">
        <w:trPr>
          <w:trHeight w:val="399"/>
        </w:trPr>
        <w:tc>
          <w:tcPr>
            <w:tcW w:w="9570" w:type="dxa"/>
            <w:tcBorders>
              <w:bottom w:val="single" w:sz="4" w:space="0" w:color="000000"/>
            </w:tcBorders>
          </w:tcPr>
          <w:p w14:paraId="6C632CBA" w14:textId="77777777" w:rsidR="00C76EE2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5"/>
                <w:sz w:val="19"/>
              </w:rPr>
              <w:t xml:space="preserve"> Пономаревой</w:t>
            </w:r>
            <w:r>
              <w:rPr>
                <w:spacing w:val="6"/>
                <w:sz w:val="19"/>
              </w:rPr>
              <w:t xml:space="preserve"> Ольги</w:t>
            </w:r>
            <w:r>
              <w:rPr>
                <w:spacing w:val="5"/>
                <w:sz w:val="19"/>
              </w:rPr>
              <w:t xml:space="preserve"> Сергеевны </w:t>
            </w:r>
            <w:r>
              <w:rPr>
                <w:sz w:val="19"/>
              </w:rPr>
              <w:t>Степанов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Роман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C76EE2" w14:paraId="7BABB4E2" w14:textId="77777777">
        <w:trPr>
          <w:trHeight w:val="657"/>
        </w:trPr>
        <w:tc>
          <w:tcPr>
            <w:tcW w:w="9570" w:type="dxa"/>
            <w:tcBorders>
              <w:top w:val="single" w:sz="4" w:space="0" w:color="000000"/>
            </w:tcBorders>
          </w:tcPr>
          <w:p w14:paraId="2D71A3F5" w14:textId="77777777" w:rsidR="00C76EE2" w:rsidRDefault="00000000">
            <w:pPr>
              <w:pStyle w:val="TableParagraph"/>
              <w:spacing w:before="117" w:line="260" w:lineRule="exact"/>
              <w:ind w:right="177"/>
              <w:rPr>
                <w:sz w:val="19"/>
              </w:rPr>
            </w:pPr>
            <w:r>
              <w:rPr>
                <w:sz w:val="19"/>
              </w:rPr>
              <w:t>191187,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Санкт-Петербург,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ул.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Чайковского,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лит.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оф.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89119274506 факс: MAX / TG 89119274506 эл. почта: </w:t>
            </w:r>
            <w:hyperlink r:id="rId5" w:history="1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05473BDD" w14:textId="77777777" w:rsidR="00C76EE2" w:rsidRDefault="00C76EE2">
      <w:pPr>
        <w:pStyle w:val="aff"/>
        <w:ind w:left="0"/>
        <w:rPr>
          <w:b/>
          <w:sz w:val="24"/>
        </w:rPr>
      </w:pPr>
    </w:p>
    <w:p w14:paraId="18D04735" w14:textId="77777777" w:rsidR="00C76EE2" w:rsidRDefault="00C76EE2">
      <w:pPr>
        <w:pStyle w:val="aff"/>
        <w:spacing w:before="118"/>
        <w:ind w:left="0"/>
        <w:rPr>
          <w:b/>
          <w:sz w:val="24"/>
        </w:rPr>
      </w:pPr>
    </w:p>
    <w:p w14:paraId="09487F65" w14:textId="77777777" w:rsidR="00C76EE2" w:rsidRDefault="00000000">
      <w:pPr>
        <w:pStyle w:val="1"/>
        <w:ind w:right="1306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задатке</w:t>
      </w:r>
      <w:r>
        <w:rPr>
          <w:spacing w:val="-2"/>
        </w:rPr>
        <w:br/>
      </w:r>
    </w:p>
    <w:p w14:paraId="3D4BEF94" w14:textId="77777777" w:rsidR="00C76EE2" w:rsidRPr="00A96994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firstLine="740"/>
        <w:rPr>
          <w:rFonts w:ascii="Verdana" w:hAnsi="Verdana"/>
          <w:color w:val="000000"/>
          <w:sz w:val="16"/>
          <w:szCs w:val="16"/>
        </w:rPr>
      </w:pPr>
      <w:r w:rsidRPr="00A96994">
        <w:rPr>
          <w:rFonts w:ascii="Verdana" w:hAnsi="Verdana"/>
          <w:color w:val="000000"/>
          <w:sz w:val="16"/>
          <w:szCs w:val="16"/>
        </w:rPr>
        <w:t xml:space="preserve">Решением АРБИТРАЖНОГО СУДА города Санкт-Петербурга и Ленинградской области от 21.02.2026 г. по делу № А56-104237/2025 Пономарева Ольга Сергеевна (дата рождения: 26.04.1983 г., место рождения: с. Чаши Каргапольского р-на Курганской обл., СНИЛС 042-718-205 35, ИНН 450803056412, адрес регистрации по месту жительства: 197376, г. Санкт-Петербург, г. Санкт-Петербург, </w:t>
      </w:r>
      <w:proofErr w:type="spellStart"/>
      <w:r w:rsidRPr="00A96994">
        <w:rPr>
          <w:rFonts w:ascii="Verdana" w:hAnsi="Verdana"/>
          <w:color w:val="000000"/>
          <w:sz w:val="16"/>
          <w:szCs w:val="16"/>
        </w:rPr>
        <w:t>пр-кт</w:t>
      </w:r>
      <w:proofErr w:type="spellEnd"/>
      <w:r w:rsidRPr="00A96994">
        <w:rPr>
          <w:rFonts w:ascii="Verdana" w:hAnsi="Verdana"/>
          <w:color w:val="000000"/>
          <w:sz w:val="16"/>
          <w:szCs w:val="16"/>
        </w:rPr>
        <w:t xml:space="preserve"> Авиаконструкторов, д. 63, стр. 1, кв. 505) признана несостоятельной (банкротом) и введена процедура реализации имущества гражданина. </w:t>
      </w:r>
    </w:p>
    <w:p w14:paraId="2532C8D9" w14:textId="77777777" w:rsidR="00C76EE2" w:rsidRPr="00A96994" w:rsidRDefault="00C76EE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firstLine="740"/>
        <w:rPr>
          <w:rFonts w:ascii="Verdana" w:hAnsi="Verdana"/>
          <w:color w:val="000000"/>
          <w:sz w:val="16"/>
          <w:szCs w:val="16"/>
        </w:rPr>
      </w:pPr>
    </w:p>
    <w:p w14:paraId="284FFCA2" w14:textId="77777777" w:rsidR="00C76EE2" w:rsidRPr="00A96994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firstLine="740"/>
        <w:rPr>
          <w:rFonts w:ascii="Verdana" w:hAnsi="Verdana"/>
          <w:color w:val="000000"/>
          <w:sz w:val="16"/>
          <w:szCs w:val="16"/>
        </w:rPr>
      </w:pPr>
      <w:r w:rsidRPr="00A96994">
        <w:rPr>
          <w:rFonts w:ascii="Verdana" w:hAnsi="Verdana"/>
          <w:color w:val="000000"/>
          <w:sz w:val="16"/>
          <w:szCs w:val="16"/>
        </w:rPr>
        <w:t xml:space="preserve"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 </w:t>
      </w:r>
    </w:p>
    <w:p w14:paraId="1F9B977D" w14:textId="77777777" w:rsidR="00C76EE2" w:rsidRDefault="00000000">
      <w:pPr>
        <w:pStyle w:val="aff"/>
        <w:spacing w:before="197"/>
        <w:ind w:left="-7" w:right="20" w:firstLine="710"/>
        <w:rPr>
          <w:rFonts w:ascii="Verdana" w:hAnsi="Verdana"/>
        </w:rPr>
      </w:pPr>
      <w:r>
        <w:rPr>
          <w:rFonts w:ascii="Verdana" w:hAnsi="Verdana"/>
        </w:rPr>
        <w:t>Порядок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проведения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торгов по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продаже имущества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  <w:spacing w:val="-2"/>
        </w:rPr>
        <w:t>Должника</w:t>
      </w:r>
    </w:p>
    <w:p w14:paraId="2F0F5893" w14:textId="77777777" w:rsidR="00C76EE2" w:rsidRDefault="00000000">
      <w:pPr>
        <w:pStyle w:val="aff"/>
        <w:spacing w:before="211" w:line="216" w:lineRule="auto"/>
        <w:ind w:right="294" w:firstLine="720"/>
        <w:jc w:val="both"/>
        <w:rPr>
          <w:rFonts w:ascii="Verdana" w:hAnsi="Verdana"/>
        </w:rPr>
      </w:pPr>
      <w:r>
        <w:rPr>
          <w:rFonts w:ascii="Verdana" w:hAnsi="Verdana"/>
        </w:rPr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7AC5C1C9" w14:textId="77777777" w:rsidR="00C76EE2" w:rsidRDefault="00000000">
      <w:pPr>
        <w:pStyle w:val="aff"/>
        <w:spacing w:line="216" w:lineRule="auto"/>
        <w:ind w:right="274" w:firstLine="720"/>
        <w:jc w:val="both"/>
        <w:rPr>
          <w:rFonts w:ascii="Verdana" w:hAnsi="Verdana"/>
        </w:rPr>
      </w:pPr>
      <w:r>
        <w:rPr>
          <w:rFonts w:ascii="Verdana" w:hAnsi="Verdana"/>
        </w:rPr>
        <w:t>Перечисление задатка заявителем в соответствии с электронным сообщением о продаже признается акцептом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договора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задатке.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таком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случае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договор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задатке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может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не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опубликовываться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ЭТП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и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не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заключаться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в письменном виде с заявителем.</w:t>
      </w:r>
    </w:p>
    <w:p w14:paraId="0FA839AD" w14:textId="77777777" w:rsidR="00C76EE2" w:rsidRDefault="00000000">
      <w:pPr>
        <w:pStyle w:val="aff"/>
        <w:spacing w:before="196" w:line="231" w:lineRule="exact"/>
        <w:ind w:left="723"/>
        <w:rPr>
          <w:rFonts w:ascii="Verdana" w:hAnsi="Verdana"/>
        </w:rPr>
      </w:pPr>
      <w:r>
        <w:rPr>
          <w:rFonts w:ascii="Verdana" w:hAnsi="Verdana"/>
        </w:rPr>
        <w:t>Общие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правила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продажи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  <w:spacing w:val="-2"/>
        </w:rPr>
        <w:t>имущества</w:t>
      </w:r>
    </w:p>
    <w:p w14:paraId="43B96CDA" w14:textId="77777777" w:rsidR="00C76EE2" w:rsidRDefault="00000000">
      <w:pPr>
        <w:pStyle w:val="aff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pacing w:val="40"/>
          <w:u w:val="single"/>
        </w:rPr>
      </w:pPr>
      <w:r>
        <w:rPr>
          <w:rFonts w:ascii="Verdana" w:hAnsi="Verdana"/>
        </w:rPr>
        <w:t xml:space="preserve">Задаток должен быть внесен Заявителем до даты подачи заявки на задатковый счет должника: </w:t>
      </w:r>
      <w:r>
        <w:rPr>
          <w:rFonts w:ascii="Verdana" w:hAnsi="Verdana"/>
        </w:rPr>
        <w:br/>
      </w:r>
      <w:r>
        <w:rPr>
          <w:rFonts w:ascii="Verdana" w:hAnsi="Verdana"/>
          <w:u w:val="single"/>
        </w:rPr>
        <w:t>Получатель: Пономарева Ольга Сергеевна</w:t>
      </w:r>
      <w:r>
        <w:rPr>
          <w:rFonts w:ascii="Verdana" w:hAnsi="Verdana"/>
          <w:spacing w:val="40"/>
          <w:u w:val="single"/>
        </w:rPr>
        <w:t xml:space="preserve"> </w:t>
      </w:r>
    </w:p>
    <w:p w14:paraId="3B91BA37" w14:textId="371868FA" w:rsidR="00C76EE2" w:rsidRDefault="00000000">
      <w:pPr>
        <w:pStyle w:val="aff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pacing w:val="40"/>
          <w:u w:val="single"/>
        </w:rPr>
      </w:pPr>
      <w:r w:rsidRPr="00A96994">
        <w:rPr>
          <w:rFonts w:ascii="Verdana" w:hAnsi="Verdana"/>
          <w:u w:val="single"/>
        </w:rPr>
        <w:t>Номер счета:</w:t>
      </w:r>
      <w:r w:rsidR="00A96994" w:rsidRPr="00A96994">
        <w:rPr>
          <w:sz w:val="22"/>
          <w:szCs w:val="22"/>
          <w:u w:val="single"/>
        </w:rPr>
        <w:t xml:space="preserve"> </w:t>
      </w:r>
      <w:r w:rsidR="00A96994" w:rsidRPr="00A96994">
        <w:rPr>
          <w:rFonts w:ascii="Verdana" w:hAnsi="Verdana"/>
          <w:color w:val="000000"/>
          <w:u w:val="single"/>
        </w:rPr>
        <w:t>40817810250230856653</w:t>
      </w:r>
      <w:r>
        <w:rPr>
          <w:rFonts w:ascii="Verdana" w:hAnsi="Verdana"/>
          <w:u w:val="single"/>
        </w:rPr>
        <w:br/>
        <w:t>Банк получателя: ФИЛИАЛ "ЦЕНТРАЛЬНЫЙ" ПАО "СОВКОМБАНК"</w:t>
      </w:r>
      <w:r>
        <w:rPr>
          <w:rFonts w:ascii="Verdana" w:hAnsi="Verdana"/>
          <w:spacing w:val="40"/>
          <w:u w:val="single"/>
        </w:rPr>
        <w:t xml:space="preserve"> </w:t>
      </w:r>
    </w:p>
    <w:p w14:paraId="60A1B3B5" w14:textId="77777777" w:rsidR="00C76EE2" w:rsidRDefault="00000000">
      <w:pPr>
        <w:pStyle w:val="aff"/>
        <w:tabs>
          <w:tab w:val="left" w:pos="2866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u w:val="single"/>
        </w:rPr>
      </w:pPr>
      <w:r>
        <w:rPr>
          <w:rFonts w:ascii="Verdana" w:hAnsi="Verdana"/>
          <w:u w:val="single"/>
        </w:rPr>
        <w:t>БИК:</w:t>
      </w:r>
      <w:r>
        <w:rPr>
          <w:rFonts w:ascii="Verdana" w:hAnsi="Verdana"/>
          <w:spacing w:val="-1"/>
          <w:u w:val="single"/>
        </w:rPr>
        <w:t xml:space="preserve"> </w:t>
      </w:r>
      <w:r>
        <w:rPr>
          <w:rFonts w:ascii="Verdana" w:hAnsi="Verdana"/>
          <w:u w:val="single"/>
        </w:rPr>
        <w:t>045004763</w:t>
      </w:r>
    </w:p>
    <w:p w14:paraId="36781DE4" w14:textId="77777777" w:rsidR="00C76EE2" w:rsidRDefault="00000000">
      <w:pPr>
        <w:pStyle w:val="aff"/>
        <w:tabs>
          <w:tab w:val="left" w:pos="2317"/>
        </w:tabs>
        <w:ind w:left="0"/>
        <w:rPr>
          <w:rFonts w:ascii="Verdana" w:hAnsi="Verdana"/>
          <w:u w:val="single"/>
        </w:rPr>
      </w:pPr>
      <w:r>
        <w:rPr>
          <w:rFonts w:ascii="Verdana" w:hAnsi="Verdana"/>
          <w:u w:val="single"/>
        </w:rPr>
        <w:t>ИНН:</w:t>
      </w:r>
      <w:r>
        <w:rPr>
          <w:rFonts w:ascii="Verdana" w:hAnsi="Verdana"/>
          <w:spacing w:val="-1"/>
          <w:u w:val="single"/>
        </w:rPr>
        <w:t xml:space="preserve"> 4401116480</w:t>
      </w:r>
    </w:p>
    <w:p w14:paraId="391F8653" w14:textId="77777777" w:rsidR="00C76EE2" w:rsidRDefault="00000000">
      <w:pPr>
        <w:pStyle w:val="aff"/>
        <w:tabs>
          <w:tab w:val="left" w:pos="3945"/>
        </w:tabs>
        <w:ind w:left="0"/>
        <w:rPr>
          <w:rFonts w:ascii="Verdana" w:hAnsi="Verdana"/>
          <w:u w:val="single"/>
        </w:rPr>
      </w:pPr>
      <w:r>
        <w:rPr>
          <w:rFonts w:ascii="Verdana" w:hAnsi="Verdana"/>
          <w:u w:val="single"/>
        </w:rPr>
        <w:t>Корреспондентский счет:</w:t>
      </w:r>
      <w:r>
        <w:rPr>
          <w:rFonts w:ascii="Verdana" w:hAnsi="Verdana"/>
          <w:spacing w:val="-2"/>
          <w:u w:val="single"/>
        </w:rPr>
        <w:t>30101810150040000763</w:t>
      </w:r>
    </w:p>
    <w:p w14:paraId="0970F778" w14:textId="77777777" w:rsidR="00C76EE2" w:rsidRDefault="00000000">
      <w:pPr>
        <w:pStyle w:val="aff"/>
        <w:tabs>
          <w:tab w:val="left" w:pos="2402"/>
        </w:tabs>
        <w:ind w:left="0"/>
        <w:rPr>
          <w:rFonts w:ascii="Verdana" w:hAnsi="Verdana"/>
        </w:rPr>
      </w:pPr>
      <w:r>
        <w:rPr>
          <w:rFonts w:ascii="Verdana" w:hAnsi="Verdana"/>
          <w:u w:val="single"/>
        </w:rPr>
        <w:t>ОГРН:</w:t>
      </w:r>
      <w:r>
        <w:rPr>
          <w:rFonts w:ascii="Verdana" w:hAnsi="Verdana"/>
          <w:spacing w:val="-1"/>
          <w:u w:val="single"/>
        </w:rPr>
        <w:t xml:space="preserve"> 1144400000425</w:t>
      </w:r>
    </w:p>
    <w:p w14:paraId="4DD27DDA" w14:textId="77777777" w:rsidR="00C76EE2" w:rsidRDefault="00000000">
      <w:pPr>
        <w:pStyle w:val="aff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</w:rPr>
      </w:pPr>
      <w:r>
        <w:rPr>
          <w:rFonts w:ascii="Verdana" w:hAnsi="Verdana"/>
        </w:rPr>
        <w:t>Остальные</w:t>
      </w:r>
      <w:r>
        <w:rPr>
          <w:rFonts w:ascii="Verdana" w:hAnsi="Verdana"/>
          <w:spacing w:val="80"/>
        </w:rPr>
        <w:t xml:space="preserve"> </w:t>
      </w:r>
      <w:r>
        <w:rPr>
          <w:rFonts w:ascii="Verdana" w:hAnsi="Verdana"/>
        </w:rPr>
        <w:t>реквизиты</w:t>
      </w:r>
      <w:r>
        <w:rPr>
          <w:rFonts w:ascii="Verdana" w:hAnsi="Verdana"/>
          <w:spacing w:val="77"/>
        </w:rPr>
        <w:t xml:space="preserve"> </w:t>
      </w:r>
      <w:r>
        <w:rPr>
          <w:rFonts w:ascii="Verdana" w:hAnsi="Verdana"/>
        </w:rPr>
        <w:t>финансового</w:t>
      </w:r>
      <w:r>
        <w:rPr>
          <w:rFonts w:ascii="Verdana" w:hAnsi="Verdana"/>
          <w:spacing w:val="78"/>
        </w:rPr>
        <w:t xml:space="preserve"> </w:t>
      </w:r>
      <w:r>
        <w:rPr>
          <w:rFonts w:ascii="Verdana" w:hAnsi="Verdana"/>
        </w:rPr>
        <w:t>управляющего</w:t>
      </w:r>
      <w:r>
        <w:rPr>
          <w:rFonts w:ascii="Verdana" w:hAnsi="Verdana"/>
          <w:spacing w:val="78"/>
        </w:rPr>
        <w:t xml:space="preserve"> </w:t>
      </w:r>
      <w:r>
        <w:rPr>
          <w:rFonts w:ascii="Verdana" w:hAnsi="Verdana"/>
        </w:rPr>
        <w:t>приведены</w:t>
      </w:r>
      <w:r>
        <w:rPr>
          <w:rFonts w:ascii="Verdana" w:hAnsi="Verdana"/>
          <w:spacing w:val="77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79"/>
        </w:rPr>
        <w:t xml:space="preserve"> </w:t>
      </w:r>
      <w:r>
        <w:rPr>
          <w:rFonts w:ascii="Verdana" w:hAnsi="Verdana"/>
        </w:rPr>
        <w:t>верхней</w:t>
      </w:r>
      <w:r>
        <w:rPr>
          <w:rFonts w:ascii="Verdana" w:hAnsi="Verdana"/>
          <w:spacing w:val="77"/>
        </w:rPr>
        <w:t xml:space="preserve"> </w:t>
      </w:r>
      <w:r>
        <w:rPr>
          <w:rFonts w:ascii="Verdana" w:hAnsi="Verdana"/>
        </w:rPr>
        <w:t>части</w:t>
      </w:r>
      <w:r>
        <w:rPr>
          <w:rFonts w:ascii="Verdana" w:hAnsi="Verdana"/>
          <w:spacing w:val="77"/>
        </w:rPr>
        <w:t xml:space="preserve"> </w:t>
      </w:r>
      <w:r>
        <w:rPr>
          <w:rFonts w:ascii="Verdana" w:hAnsi="Verdana"/>
        </w:rPr>
        <w:t>первого</w:t>
      </w:r>
      <w:r>
        <w:rPr>
          <w:rFonts w:ascii="Verdana" w:hAnsi="Verdana"/>
          <w:spacing w:val="80"/>
        </w:rPr>
        <w:t xml:space="preserve"> </w:t>
      </w:r>
      <w:r>
        <w:rPr>
          <w:rFonts w:ascii="Verdana" w:hAnsi="Verdana"/>
        </w:rPr>
        <w:t>листа настоящего документа.</w:t>
      </w:r>
    </w:p>
    <w:p w14:paraId="1F32E412" w14:textId="77777777" w:rsidR="00C76EE2" w:rsidRDefault="00000000">
      <w:pPr>
        <w:pStyle w:val="aff"/>
        <w:ind w:left="152" w:right="288" w:firstLine="699"/>
        <w:jc w:val="both"/>
        <w:rPr>
          <w:rFonts w:ascii="Verdana" w:hAnsi="Verdana"/>
        </w:rPr>
      </w:pPr>
      <w:r>
        <w:rPr>
          <w:rFonts w:ascii="Verdana" w:hAnsi="Verdana"/>
        </w:rPr>
        <w:t>В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</w:rPr>
        <w:t>назначении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платежа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указывается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</w:rPr>
        <w:t>Ф.И.О.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или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наименование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</w:rPr>
        <w:t>организации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заявителя,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ссылка на внесение задатка для участия в торгах по соответствующему Лоту, а именно указание на номер и наименование Лота, номер торгов.</w:t>
      </w:r>
    </w:p>
    <w:p w14:paraId="7E645223" w14:textId="77777777" w:rsidR="00C76EE2" w:rsidRDefault="00000000">
      <w:pPr>
        <w:pStyle w:val="2"/>
        <w:spacing w:before="189"/>
        <w:ind w:firstLine="139"/>
        <w:jc w:val="both"/>
        <w:rPr>
          <w:rFonts w:ascii="Verdana" w:hAnsi="Verdana"/>
        </w:rPr>
      </w:pPr>
      <w:r>
        <w:rPr>
          <w:rFonts w:ascii="Verdana" w:hAnsi="Verdana"/>
        </w:rPr>
        <w:t>Продавец: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Финансовый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управляющий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Степанов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Роман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  <w:spacing w:val="-2"/>
        </w:rPr>
        <w:t>Сергеевич</w:t>
      </w:r>
    </w:p>
    <w:p w14:paraId="69B0137B" w14:textId="77777777" w:rsidR="00C76EE2" w:rsidRDefault="00C76EE2">
      <w:pPr>
        <w:pStyle w:val="aff"/>
        <w:spacing w:before="1"/>
        <w:rPr>
          <w:rFonts w:ascii="Verdana" w:hAnsi="Verdana"/>
          <w:b/>
        </w:rPr>
      </w:pPr>
    </w:p>
    <w:p w14:paraId="22E83ECF" w14:textId="77777777" w:rsidR="00C76EE2" w:rsidRDefault="00000000">
      <w:pPr>
        <w:pStyle w:val="aff"/>
        <w:ind w:left="2263"/>
        <w:rPr>
          <w:rFonts w:ascii="Verdana" w:hAnsi="Verdana"/>
        </w:rPr>
      </w:pPr>
      <w:r>
        <w:rPr>
          <w:rFonts w:ascii="Verdana" w:hAnsi="Verdana"/>
        </w:rPr>
        <w:t>Степанов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Роман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  <w:spacing w:val="-2"/>
        </w:rPr>
        <w:t>Сергеевич</w:t>
      </w:r>
    </w:p>
    <w:p w14:paraId="42BE5EF8" w14:textId="77777777" w:rsidR="00C76EE2" w:rsidRDefault="00000000">
      <w:pPr>
        <w:spacing w:line="20" w:lineRule="exact"/>
        <w:ind w:left="140"/>
        <w:rPr>
          <w:rFonts w:ascii="Verdana" w:hAnsi="Verdana"/>
          <w:sz w:val="2"/>
        </w:rPr>
      </w:pPr>
      <w:r>
        <w:rPr>
          <w:rFonts w:ascii="Verdana" w:hAnsi="Verdana"/>
          <w:noProof/>
          <w:sz w:val="2"/>
        </w:rPr>
        <mc:AlternateContent>
          <mc:Choice Requires="wpg">
            <w:drawing>
              <wp:inline distT="0" distB="0" distL="0" distR="0" wp14:anchorId="35C7AD0D" wp14:editId="48468BB6">
                <wp:extent cx="1029969" cy="6350"/>
                <wp:effectExtent l="0" t="0" r="0" b="0"/>
                <wp:docPr id="18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Полилиния: фигура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3FED55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">
                <v:shape id="Полилиния: фигура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1C4E2CC8" w14:textId="77777777" w:rsidR="00C76EE2" w:rsidRDefault="00000000">
      <w:pPr>
        <w:spacing w:before="174"/>
        <w:ind w:left="140"/>
        <w:rPr>
          <w:rFonts w:ascii="Verdana" w:hAnsi="Verdana"/>
          <w:b/>
          <w:sz w:val="16"/>
        </w:rPr>
      </w:pPr>
      <w:r>
        <w:rPr>
          <w:rFonts w:ascii="Verdana" w:hAnsi="Verdana"/>
          <w:b/>
          <w:spacing w:val="-2"/>
          <w:sz w:val="16"/>
        </w:rPr>
        <w:t>Покупатель:</w:t>
      </w:r>
    </w:p>
    <w:p w14:paraId="7E18C294" w14:textId="77777777" w:rsidR="00C76EE2" w:rsidRDefault="00000000">
      <w:pPr>
        <w:tabs>
          <w:tab w:val="left" w:pos="1764"/>
        </w:tabs>
        <w:spacing w:before="2"/>
        <w:ind w:left="140"/>
        <w:rPr>
          <w:rFonts w:ascii="Verdana" w:hAnsi="Verdana"/>
          <w:b/>
          <w:sz w:val="16"/>
        </w:rPr>
      </w:pPr>
      <w:r>
        <w:rPr>
          <w:rFonts w:ascii="Verdana" w:hAnsi="Verdana"/>
          <w:sz w:val="16"/>
          <w:u w:val="single"/>
        </w:rPr>
        <w:tab/>
      </w:r>
      <w:r>
        <w:rPr>
          <w:rFonts w:ascii="Verdana" w:hAnsi="Verdana"/>
          <w:spacing w:val="-25"/>
          <w:sz w:val="16"/>
        </w:rPr>
        <w:t xml:space="preserve"> </w:t>
      </w:r>
      <w:r>
        <w:rPr>
          <w:rFonts w:ascii="Verdana" w:hAnsi="Verdana"/>
          <w:b/>
          <w:sz w:val="16"/>
        </w:rPr>
        <w:t>паспортные</w:t>
      </w:r>
      <w:r>
        <w:rPr>
          <w:rFonts w:ascii="Verdana" w:hAnsi="Verdana"/>
          <w:b/>
          <w:spacing w:val="-6"/>
          <w:sz w:val="16"/>
        </w:rPr>
        <w:t xml:space="preserve"> </w:t>
      </w:r>
      <w:r>
        <w:rPr>
          <w:rFonts w:ascii="Verdana" w:hAnsi="Verdana"/>
          <w:b/>
          <w:sz w:val="16"/>
        </w:rPr>
        <w:t>данные</w:t>
      </w:r>
      <w:r>
        <w:rPr>
          <w:rFonts w:ascii="Verdana" w:hAnsi="Verdana"/>
          <w:b/>
          <w:spacing w:val="-5"/>
          <w:sz w:val="16"/>
        </w:rPr>
        <w:t xml:space="preserve"> </w:t>
      </w:r>
      <w:r>
        <w:rPr>
          <w:rFonts w:ascii="Verdana" w:hAnsi="Verdana"/>
          <w:b/>
          <w:sz w:val="16"/>
        </w:rPr>
        <w:t>дата</w:t>
      </w:r>
      <w:r>
        <w:rPr>
          <w:rFonts w:ascii="Verdana" w:hAnsi="Verdana"/>
          <w:b/>
          <w:spacing w:val="-1"/>
          <w:sz w:val="16"/>
        </w:rPr>
        <w:t xml:space="preserve"> </w:t>
      </w:r>
      <w:r>
        <w:rPr>
          <w:rFonts w:ascii="Verdana" w:hAnsi="Verdana"/>
          <w:b/>
          <w:sz w:val="16"/>
        </w:rPr>
        <w:t>рождения</w:t>
      </w:r>
      <w:r>
        <w:rPr>
          <w:rFonts w:ascii="Verdana" w:hAnsi="Verdana"/>
          <w:b/>
          <w:spacing w:val="-3"/>
          <w:sz w:val="16"/>
        </w:rPr>
        <w:t xml:space="preserve"> </w:t>
      </w:r>
      <w:r>
        <w:rPr>
          <w:rFonts w:ascii="Verdana" w:hAnsi="Verdana"/>
          <w:b/>
          <w:sz w:val="16"/>
        </w:rPr>
        <w:t>место</w:t>
      </w:r>
      <w:r>
        <w:rPr>
          <w:rFonts w:ascii="Verdana" w:hAnsi="Verdana"/>
          <w:b/>
          <w:spacing w:val="-3"/>
          <w:sz w:val="16"/>
        </w:rPr>
        <w:t xml:space="preserve"> </w:t>
      </w:r>
      <w:r>
        <w:rPr>
          <w:rFonts w:ascii="Verdana" w:hAnsi="Verdana"/>
          <w:b/>
          <w:sz w:val="16"/>
        </w:rPr>
        <w:t>рождения</w:t>
      </w:r>
    </w:p>
    <w:p w14:paraId="16EDA460" w14:textId="77777777" w:rsidR="00C76EE2" w:rsidRDefault="00C76EE2">
      <w:pPr>
        <w:pStyle w:val="aff"/>
        <w:spacing w:before="283"/>
        <w:ind w:left="0"/>
        <w:rPr>
          <w:rFonts w:ascii="Verdana" w:hAnsi="Verdana"/>
          <w:b/>
          <w:sz w:val="20"/>
        </w:rPr>
      </w:pPr>
    </w:p>
    <w:sectPr w:rsidR="00C76EE2">
      <w:pgSz w:w="11910" w:h="16840"/>
      <w:pgMar w:top="76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Calibri"/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419C9"/>
    <w:multiLevelType w:val="hybridMultilevel"/>
    <w:tmpl w:val="D996028A"/>
    <w:lvl w:ilvl="0" w:tplc="B2781A34">
      <w:start w:val="1"/>
      <w:numFmt w:val="decimal"/>
      <w:lvlText w:val="%1."/>
      <w:lvlJc w:val="left"/>
      <w:pPr>
        <w:ind w:left="723" w:hanging="696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 w:tplc="B6683C8C">
      <w:numFmt w:val="bullet"/>
      <w:lvlText w:val="•"/>
      <w:lvlJc w:val="left"/>
      <w:pPr>
        <w:ind w:left="1612" w:hanging="696"/>
      </w:pPr>
      <w:rPr>
        <w:rFonts w:hint="default"/>
        <w:lang w:val="ru-RU" w:eastAsia="en-US" w:bidi="ar-SA"/>
      </w:rPr>
    </w:lvl>
    <w:lvl w:ilvl="2" w:tplc="37A04138">
      <w:numFmt w:val="bullet"/>
      <w:lvlText w:val="•"/>
      <w:lvlJc w:val="left"/>
      <w:pPr>
        <w:ind w:left="2504" w:hanging="696"/>
      </w:pPr>
      <w:rPr>
        <w:rFonts w:hint="default"/>
        <w:lang w:val="ru-RU" w:eastAsia="en-US" w:bidi="ar-SA"/>
      </w:rPr>
    </w:lvl>
    <w:lvl w:ilvl="3" w:tplc="83B89732">
      <w:numFmt w:val="bullet"/>
      <w:lvlText w:val="•"/>
      <w:lvlJc w:val="left"/>
      <w:pPr>
        <w:ind w:left="3396" w:hanging="696"/>
      </w:pPr>
      <w:rPr>
        <w:rFonts w:hint="default"/>
        <w:lang w:val="ru-RU" w:eastAsia="en-US" w:bidi="ar-SA"/>
      </w:rPr>
    </w:lvl>
    <w:lvl w:ilvl="4" w:tplc="BD7E3A64">
      <w:numFmt w:val="bullet"/>
      <w:lvlText w:val="•"/>
      <w:lvlJc w:val="left"/>
      <w:pPr>
        <w:ind w:left="4288" w:hanging="696"/>
      </w:pPr>
      <w:rPr>
        <w:rFonts w:hint="default"/>
        <w:lang w:val="ru-RU" w:eastAsia="en-US" w:bidi="ar-SA"/>
      </w:rPr>
    </w:lvl>
    <w:lvl w:ilvl="5" w:tplc="9436466A">
      <w:numFmt w:val="bullet"/>
      <w:lvlText w:val="•"/>
      <w:lvlJc w:val="left"/>
      <w:pPr>
        <w:ind w:left="5180" w:hanging="696"/>
      </w:pPr>
      <w:rPr>
        <w:rFonts w:hint="default"/>
        <w:lang w:val="ru-RU" w:eastAsia="en-US" w:bidi="ar-SA"/>
      </w:rPr>
    </w:lvl>
    <w:lvl w:ilvl="6" w:tplc="E1C276A6">
      <w:numFmt w:val="bullet"/>
      <w:lvlText w:val="•"/>
      <w:lvlJc w:val="left"/>
      <w:pPr>
        <w:ind w:left="6072" w:hanging="696"/>
      </w:pPr>
      <w:rPr>
        <w:rFonts w:hint="default"/>
        <w:lang w:val="ru-RU" w:eastAsia="en-US" w:bidi="ar-SA"/>
      </w:rPr>
    </w:lvl>
    <w:lvl w:ilvl="7" w:tplc="54D4AE34">
      <w:numFmt w:val="bullet"/>
      <w:lvlText w:val="•"/>
      <w:lvlJc w:val="left"/>
      <w:pPr>
        <w:ind w:left="6964" w:hanging="696"/>
      </w:pPr>
      <w:rPr>
        <w:rFonts w:hint="default"/>
        <w:lang w:val="ru-RU" w:eastAsia="en-US" w:bidi="ar-SA"/>
      </w:rPr>
    </w:lvl>
    <w:lvl w:ilvl="8" w:tplc="9C34176A">
      <w:numFmt w:val="bullet"/>
      <w:lvlText w:val="•"/>
      <w:lvlJc w:val="left"/>
      <w:pPr>
        <w:ind w:left="7856" w:hanging="696"/>
      </w:pPr>
      <w:rPr>
        <w:rFonts w:hint="default"/>
        <w:lang w:val="ru-RU" w:eastAsia="en-US" w:bidi="ar-SA"/>
      </w:rPr>
    </w:lvl>
  </w:abstractNum>
  <w:abstractNum w:abstractNumId="1" w15:restartNumberingAfterBreak="0">
    <w:nsid w:val="237C74A0"/>
    <w:multiLevelType w:val="multilevel"/>
    <w:tmpl w:val="D7C6503A"/>
    <w:lvl w:ilvl="0">
      <w:start w:val="1"/>
      <w:numFmt w:val="decimal"/>
      <w:lvlText w:val="%1."/>
      <w:lvlJc w:val="left"/>
      <w:pPr>
        <w:ind w:left="3" w:hanging="175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327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1928" w:hanging="3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92" w:hanging="3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6" w:hanging="3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0" w:hanging="3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4" w:hanging="3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8" w:hanging="3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2" w:hanging="327"/>
      </w:pPr>
      <w:rPr>
        <w:rFonts w:hint="default"/>
        <w:lang w:val="ru-RU" w:eastAsia="en-US" w:bidi="ar-SA"/>
      </w:rPr>
    </w:lvl>
  </w:abstractNum>
  <w:num w:numId="1" w16cid:durableId="43910359">
    <w:abstractNumId w:val="0"/>
  </w:num>
  <w:num w:numId="2" w16cid:durableId="2094543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1C7"/>
    <w:rsid w:val="002F61D2"/>
    <w:rsid w:val="008900F0"/>
    <w:rsid w:val="00A701C7"/>
    <w:rsid w:val="00A96994"/>
    <w:rsid w:val="00C76EE2"/>
    <w:rsid w:val="00E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DA7E8"/>
  <w15:docId w15:val="{E3E2C203-6477-406C-9005-01FF388A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Noto Sans" w:eastAsia="Noto Sans" w:hAnsi="Noto Sans" w:cs="Noto Sans"/>
      <w:lang w:val="ru-RU"/>
    </w:rPr>
  </w:style>
  <w:style w:type="paragraph" w:styleId="1">
    <w:name w:val="heading 1"/>
    <w:basedOn w:val="a"/>
    <w:link w:val="10"/>
    <w:uiPriority w:val="9"/>
    <w:qFormat/>
    <w:pPr>
      <w:ind w:left="1028" w:right="27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pPr>
      <w:spacing w:line="231" w:lineRule="exact"/>
      <w:ind w:left="3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0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0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a0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a0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a0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a0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basedOn w:val="a0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basedOn w:val="a0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character" w:customStyle="1" w:styleId="PlainTextChar">
    <w:name w:val="Plain Text Char"/>
    <w:basedOn w:val="a0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3">
    <w:name w:val="No Spacing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Plain Text"/>
    <w:basedOn w:val="a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basedOn w:val="a0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basedOn w:val="a"/>
    <w:link w:val="afb"/>
    <w:uiPriority w:val="99"/>
    <w:unhideWhenUsed/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</w:style>
  <w:style w:type="character" w:customStyle="1" w:styleId="afd">
    <w:name w:val="Нижний колонтитул Знак"/>
    <w:basedOn w:val="a0"/>
    <w:link w:val="afc"/>
    <w:uiPriority w:val="99"/>
  </w:style>
  <w:style w:type="paragraph" w:styleId="afe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">
    <w:name w:val="Body Text"/>
    <w:basedOn w:val="a"/>
    <w:uiPriority w:val="1"/>
    <w:qFormat/>
    <w:pPr>
      <w:ind w:left="3"/>
    </w:pPr>
    <w:rPr>
      <w:sz w:val="16"/>
      <w:szCs w:val="16"/>
    </w:rPr>
  </w:style>
  <w:style w:type="paragraph" w:styleId="aff0">
    <w:name w:val="List Paragraph"/>
    <w:basedOn w:val="a"/>
    <w:uiPriority w:val="1"/>
    <w:qFormat/>
    <w:pPr>
      <w:ind w:left="3" w:right="293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8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Антонова</dc:creator>
  <cp:lastModifiedBy>User</cp:lastModifiedBy>
  <cp:revision>3</cp:revision>
  <dcterms:created xsi:type="dcterms:W3CDTF">2026-10-12T11:47:00Z</dcterms:created>
  <dcterms:modified xsi:type="dcterms:W3CDTF">2026-10-12T11:48:00Z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2026-09-16T00:00:00Z</vt:filetime>
  </property>
  <property fmtid="{D5CDD505-2E9C-101B-9397-08002B2CF9AE}" pid="6" name="Producer">
    <vt:lpwstr>LibreOffice 25.2.3.2 (X86_64) / LibreOffice Community</vt:lpwstr>
  </property>
</Properties>
</file>