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tbl>
      <w:tblPr>
        <w:tblStyle w:val="TableNormal_0"/>
        <w:tblW w:w="0" w:type="auto"/>
        <w:tblInd w:w="9" w:type="dxa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1E0"/>
      </w:tblPr>
      <w:tblGrid>
        <w:gridCol w:w="9570"/>
      </w:tblGrid>
      <w:tr>
        <w:tblPrEx>
          <w:tblW w:w="0" w:type="auto"/>
          <w:tblInd w:w="9" w:type="dxa"/>
          <w:tblBorders>
            <w:top w:val="none" w:sz="4" w:space="0"/>
            <w:left w:val="none" w:sz="4" w:space="0"/>
            <w:bottom w:val="none" w:sz="4" w:space="0"/>
            <w:right w:val="none" w:sz="4" w:space="0"/>
            <w:insideH w:val="none" w:sz="4" w:space="0"/>
            <w:insideV w:val="none" w:sz="4" w:space="0"/>
          </w:tblBorders>
          <w:tblLayout w:type="fixed"/>
          <w:tblLook w:val="01E0"/>
        </w:tblPrEx>
        <w:trPr>
          <w:trHeight w:val="399"/>
        </w:trPr>
        <w:tc>
          <w:tcPr>
            <w:cnfStyle w:val="101000000000"/>
            <w:tcW w:w="9570" w:type="dxa"/>
            <w:tcBorders>
              <w:bottom w:val="single" w:color="000000" w:sz="4" w:space="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Лазарева</w:t>
            </w:r>
            <w:r>
              <w:rPr>
                <w:spacing w:val="6"/>
                <w:sz w:val="19"/>
              </w:rPr>
              <w:t xml:space="preserve"> Дмитрия</w:t>
            </w:r>
            <w:r>
              <w:rPr>
                <w:spacing w:val="5"/>
                <w:sz w:val="19"/>
              </w:rPr>
              <w:t xml:space="preserve"> Александровича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cnfStyle w:val="011000000000"/>
            <w:tcW w:w="9570" w:type="dxa"/>
            <w:tcBorders>
              <w:top w:val="single" w:color="000000" w:sz="4" w:space="0"/>
            </w:tcBorders>
          </w:tcPr>
          <w:p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r>
              <w:fldChar w:fldCharType="begin"/>
            </w:r>
            <w:r>
              <w:instrText xml:space="preserve">HYPERLINK "mailto:bankrot@au.spb.ru" </w:instrText>
            </w:r>
            <w:r>
              <w:fldChar w:fldCharType="separate"/>
            </w:r>
            <w:r>
              <w:rPr>
                <w:sz w:val="19"/>
              </w:rPr>
              <w:t>bankrot@au.spb.ru</w:t>
            </w:r>
            <w:r>
              <w:fldChar w:fldCharType="end"/>
            </w:r>
          </w:p>
        </w:tc>
      </w:tr>
    </w:tbl>
    <w:p>
      <w:pPr>
        <w:pStyle w:val="BodyText"/>
        <w:ind w:left="0"/>
        <w:rPr>
          <w:b/>
          <w:sz w:val="24"/>
        </w:rPr>
      </w:pPr>
    </w:p>
    <w:p>
      <w:pPr>
        <w:pStyle w:val="BodyText"/>
        <w:spacing w:before="91"/>
        <w:ind w:left="0"/>
        <w:rPr>
          <w:b/>
          <w:sz w:val="24"/>
        </w:rPr>
      </w:pPr>
    </w:p>
    <w:p>
      <w:pPr>
        <w:pStyle w:val="Heading1"/>
        <w:spacing w:before="1" w:line="346" w:lineRule="exact"/>
        <w:ind w:right="1305"/>
        <w:rPr/>
      </w:pPr>
      <w:r>
        <w:rPr>
          <w:spacing w:val="-5"/>
        </w:rPr>
        <w:t>АКТ</w:t>
      </w:r>
    </w:p>
    <w:p>
      <w:pPr>
        <w:spacing w:line="329" w:lineRule="exact"/>
        <w:ind w:right="277"/>
        <w:jc w:val="center"/>
        <w:rPr>
          <w:b/>
          <w:sz w:val="24"/>
        </w:rPr>
      </w:pPr>
      <w:r>
        <w:rPr>
          <w:b/>
          <w:sz w:val="24"/>
        </w:rPr>
        <w:t>приема-</w:t>
      </w:r>
      <w:r>
        <w:rPr>
          <w:b/>
          <w:spacing w:val="-2"/>
          <w:sz w:val="24"/>
        </w:rPr>
        <w:t>передачи</w:t>
      </w:r>
    </w:p>
    <w:p>
      <w:pPr>
        <w:pStyle w:val="BodyText"/>
        <w:tabs>
          <w:tab w:val="left" w:pos="7038"/>
          <w:tab w:val="left" w:pos="7847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  <w:t>«</w:t>
      </w:r>
      <w:r>
        <w:rPr>
          <w:rFonts w:ascii="Verdana" w:hAnsi="Verdana"/>
          <w:position w:val="-1"/>
        </w:rPr>
        <w:drawing xmlns:mc="http://schemas.openxmlformats.org/markup-compatibility/2006">
          <wp:inline distT="0" distB="0" distL="0" distR="0">
            <wp:extent cx="90220" cy="6502"/>
            <wp:effectExtent l="0" t="0" r="0" b="0"/>
            <wp:docPr id="1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2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2026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г.</w:t>
      </w:r>
    </w:p>
    <w:p>
      <w:pPr>
        <w:pStyle w:val="BodyText"/>
        <w:spacing w:before="103"/>
        <w:ind w:left="0"/>
        <w:rPr>
          <w:rFonts w:ascii="Verdana" w:hAnsi="Verdana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80"/>
        <w:jc w:val="left"/>
        <w:rPr>
          <w:rFonts w:ascii="Verdana" w:hAnsi="Verdana"/>
          <w:color w:val="000000"/>
          <w:sz w:val="16"/>
          <w:szCs w:val="16"/>
          <w:rtl w:val="off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Решением АРБИТРАЖНОГО СУДА города Санкт-Петербурга и Ленинградской области от 15.04.2026 г. по делу № А56-28959/2026 А.Ю. Блажко Полунин Андрей Арнольдович (дата рождения: 28.09.1972 г., место рождения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>: г. Мелитополь Запорожская обл., СНИЛС 220-153-450 99, ИНН 900100894148, адрес регистрации по месту жительства: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 xml:space="preserve">г. Санкт-Петербург, г. Красное Село, ул. Красногородская, д.9, к.1, лит.А) 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>приз</w:t>
      </w:r>
      <w:r>
        <w:rPr>
          <w:rFonts w:ascii="Verdana" w:hAnsi="Verdana"/>
          <w:color w:val="000000"/>
          <w:sz w:val="16"/>
          <w:szCs w:val="16"/>
          <w:rtl w:val="off"/>
          <w:lang w:val="en-US"/>
        </w:rPr>
        <w:t xml:space="preserve">нан несостоятельным (банкротом) и введена процедура реализации имущества гражданина.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700"/>
        <w:jc w:val="left"/>
        <w:rPr>
          <w:rFonts w:ascii="Verdana" w:hAnsi="Verdana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соответствии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Договором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купли-продажи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б/н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от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</w:rPr>
        <w:t>«</w:t>
      </w:r>
      <w:r>
        <w:rPr>
          <w:rFonts w:ascii="Verdana" w:hAnsi="Verdana"/>
          <w:color w:val="004e87"/>
          <w:spacing w:val="-1"/>
          <w:position w:val="-1"/>
          <w:sz w:val="16"/>
          <w:szCs w:val="16"/>
        </w:rPr>
        <w:drawing xmlns:mc="http://schemas.openxmlformats.org/markup-compatibility/2006">
          <wp:inline distT="0" distB="0" distL="0" distR="0">
            <wp:extent cx="90220" cy="6502"/>
            <wp:effectExtent l="0" t="0" r="0" b="0"/>
            <wp:docPr id="1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3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4e87"/>
          <w:sz w:val="16"/>
          <w:szCs w:val="16"/>
        </w:rPr>
        <w:t>»</w:t>
      </w:r>
      <w:r>
        <w:rPr>
          <w:rFonts w:ascii="Verdana" w:hAnsi="Verdana"/>
          <w:color w:val="004e87"/>
          <w:spacing w:val="44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  <w:u w:val="single" w:color="004d86"/>
        </w:rPr>
        <w:tab/>
      </w:r>
      <w:r>
        <w:rPr>
          <w:rFonts w:ascii="Verdana" w:hAnsi="Verdana"/>
          <w:color w:val="004e87"/>
          <w:sz w:val="16"/>
          <w:szCs w:val="16"/>
        </w:rPr>
        <w:t xml:space="preserve"> 2026 </w:t>
      </w:r>
      <w:r>
        <w:rPr>
          <w:rFonts w:ascii="Verdana" w:hAnsi="Verdana"/>
          <w:sz w:val="16"/>
          <w:szCs w:val="16"/>
        </w:rPr>
        <w:t xml:space="preserve">г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 на основании в</w:t>
      </w:r>
      <w:r>
        <w:rPr>
          <w:rFonts w:ascii="Verdana" w:hAnsi="Verdana"/>
          <w:sz w:val="16"/>
          <w:szCs w:val="16"/>
        </w:rPr>
        <w:t>ышеуказанных судебных актов и ФЗ «О несостоятельности (банкротстве)», именуемый Далее 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 передал, а</w:t>
      </w:r>
    </w:p>
    <w:p>
      <w:pPr>
        <w:pStyle w:val="Heading2"/>
        <w:tabs>
          <w:tab w:val="left" w:pos="1808"/>
        </w:tabs>
        <w:spacing w:line="216" w:lineRule="auto"/>
        <w:ind w:right="291" w:firstLine="720"/>
        <w:jc w:val="both"/>
        <w:rPr>
          <w:rFonts w:ascii="Verdana" w:hAnsi="Verdana"/>
        </w:rPr>
      </w:pPr>
      <w:r>
        <w:rPr>
          <w:rFonts w:ascii="Verdana" w:hAnsi="Verdana"/>
          <w:b w:val="off"/>
          <w:u w:val="single"/>
        </w:rPr>
        <w:tab/>
      </w:r>
      <w:r>
        <w:rPr>
          <w:rFonts w:ascii="Verdana" w:hAnsi="Verdana"/>
          <w:b w:val="off"/>
          <w:spacing w:val="-10"/>
        </w:rPr>
        <w:t xml:space="preserve"> </w:t>
      </w:r>
      <w:r>
        <w:rPr>
          <w:rFonts w:ascii="Verdana" w:hAnsi="Verdana"/>
        </w:rPr>
        <w:t>паспортные данные дата рождения место рождения, именуемый (-</w:t>
      </w:r>
      <w:r>
        <w:rPr>
          <w:rFonts w:ascii="Verdana" w:hAnsi="Verdana"/>
        </w:rPr>
        <w:t>ая</w:t>
      </w:r>
      <w:r>
        <w:rPr>
          <w:rFonts w:ascii="Verdana" w:hAnsi="Verdana"/>
        </w:rPr>
        <w:t>) в дальнейшем «Покупатель», с другой стороны</w:t>
      </w:r>
    </w:p>
    <w:p>
      <w:pPr>
        <w:pStyle w:val="BodyText"/>
        <w:spacing w:line="216" w:lineRule="auto"/>
        <w:ind w:right="292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осмотрел и принял следующее имущество: </w:t>
      </w:r>
      <w:r>
        <w:rPr>
          <w:rFonts w:ascii="Verdana" w:hAnsi="Verdana"/>
          <w:b w:val="off"/>
          <w:bCs w:val="off"/>
          <w:sz w:val="16"/>
          <w:szCs w:val="16"/>
        </w:rPr>
        <w:t xml:space="preserve">автомобиль легковой </w:t>
      </w:r>
      <w:r>
        <w:rPr>
          <w:rFonts w:ascii="Verdana" w:hAnsi="Verdana"/>
          <w:b w:val="off"/>
          <w:bCs w:val="off"/>
          <w:sz w:val="16"/>
          <w:szCs w:val="16"/>
        </w:rPr>
        <w:t>ШЕВРОЛЕ LACETTI</w:t>
      </w:r>
      <w:r>
        <w:rPr>
          <w:rFonts w:ascii="Verdana" w:hAnsi="Verdana"/>
          <w:b w:val="off"/>
          <w:bCs w:val="off"/>
          <w:sz w:val="16"/>
          <w:szCs w:val="16"/>
        </w:rPr>
        <w:t xml:space="preserve"> 2007 </w:t>
      </w:r>
      <w:r>
        <w:rPr>
          <w:rFonts w:ascii="Verdana" w:hAnsi="Verdana"/>
          <w:b w:val="off"/>
          <w:bCs w:val="off"/>
          <w:sz w:val="16"/>
          <w:szCs w:val="16"/>
        </w:rPr>
        <w:t>г.в</w:t>
      </w:r>
      <w:r>
        <w:rPr>
          <w:rFonts w:ascii="Verdana" w:hAnsi="Verdana"/>
          <w:b w:val="off"/>
          <w:bCs w:val="off"/>
          <w:sz w:val="16"/>
          <w:szCs w:val="16"/>
        </w:rPr>
        <w:t xml:space="preserve">., </w:t>
      </w:r>
      <w:r>
        <w:rPr>
          <w:rFonts w:ascii="Verdana" w:hAnsi="Verdana"/>
          <w:b w:val="off"/>
          <w:bCs w:val="off"/>
          <w:sz w:val="16"/>
          <w:szCs w:val="16"/>
          <w:lang w:val="en-US"/>
        </w:rPr>
        <w:t>VIN</w:t>
      </w:r>
      <w:r>
        <w:rPr>
          <w:rFonts w:ascii="Verdana" w:hAnsi="Verdana"/>
          <w:b w:val="off"/>
          <w:bCs w:val="off"/>
          <w:sz w:val="16"/>
          <w:szCs w:val="16"/>
        </w:rPr>
        <w:t>-</w:t>
      </w:r>
      <w:r>
        <w:rPr>
          <w:rFonts w:ascii="Verdana" w:hAnsi="Verdana"/>
          <w:b w:val="off"/>
          <w:bCs w:val="off"/>
          <w:sz w:val="16"/>
          <w:szCs w:val="16"/>
        </w:rPr>
        <w:t xml:space="preserve">номер </w:t>
      </w:r>
      <w:r>
        <w:rPr>
          <w:rFonts w:ascii="Verdana" w:hAnsi="Verdana"/>
          <w:b w:val="off"/>
          <w:bCs w:val="off"/>
          <w:sz w:val="16"/>
          <w:szCs w:val="16"/>
        </w:rPr>
        <w:t>KL1NF487J8K82960</w:t>
      </w:r>
      <w:r>
        <w:rPr>
          <w:rFonts w:ascii="Verdana" w:hAnsi="Verdana"/>
          <w:b w:val="off"/>
          <w:bCs w:val="off"/>
          <w:sz w:val="16"/>
          <w:szCs w:val="16"/>
        </w:rPr>
        <w:t xml:space="preserve">, модель и номер двигателя: </w:t>
      </w:r>
      <w:r>
        <w:rPr>
          <w:rFonts w:ascii="Verdana" w:hAnsi="Verdana"/>
          <w:b w:val="off"/>
          <w:bCs w:val="off"/>
          <w:sz w:val="16"/>
          <w:szCs w:val="16"/>
        </w:rPr>
        <w:t>F14D3</w:t>
      </w:r>
      <w:r>
        <w:rPr>
          <w:rFonts w:ascii="Verdana" w:hAnsi="Verdana"/>
          <w:b w:val="off"/>
          <w:bCs w:val="off"/>
          <w:sz w:val="16"/>
          <w:szCs w:val="16"/>
        </w:rPr>
        <w:t xml:space="preserve">, </w:t>
      </w:r>
      <w:r>
        <w:rPr>
          <w:rFonts w:ascii="Verdana" w:hAnsi="Verdana"/>
          <w:b w:val="off"/>
          <w:bCs w:val="off"/>
          <w:sz w:val="16"/>
          <w:szCs w:val="16"/>
        </w:rPr>
        <w:t>633577K</w:t>
      </w:r>
      <w:r>
        <w:rPr>
          <w:rFonts w:ascii="Verdana" w:hAnsi="Verdana"/>
          <w:b w:val="off"/>
          <w:bCs w:val="off"/>
          <w:sz w:val="16"/>
          <w:szCs w:val="16"/>
        </w:rPr>
        <w:t xml:space="preserve">, цвет: серо-зеленый, государственный регистрационный номер </w:t>
      </w:r>
      <w:r>
        <w:rPr>
          <w:rFonts w:ascii="Verdana" w:hAnsi="Verdana"/>
          <w:b w:val="off"/>
          <w:bCs w:val="off"/>
          <w:sz w:val="16"/>
          <w:szCs w:val="16"/>
        </w:rPr>
        <w:t>Н092СК178</w:t>
      </w:r>
      <w:r>
        <w:rPr>
          <w:rFonts w:ascii="Verdana" w:hAnsi="Verdana"/>
          <w:b w:val="off"/>
          <w:bCs w:val="off"/>
          <w:sz w:val="16"/>
          <w:szCs w:val="16"/>
        </w:rPr>
        <w:t>.</w:t>
      </w:r>
    </w:p>
    <w:p>
      <w:pPr>
        <w:pStyle w:val="BodyText"/>
        <w:spacing w:before="187"/>
        <w:ind w:left="0"/>
        <w:rPr>
          <w:rFonts w:ascii="Verdana" w:hAnsi="Verdana"/>
        </w:rPr>
      </w:pPr>
    </w:p>
    <w:p>
      <w:pPr>
        <w:pStyle w:val="BodyText"/>
        <w:spacing w:line="216" w:lineRule="auto"/>
        <w:ind w:right="290" w:firstLine="720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 xml:space="preserve">Стороны не имеют взаимных претензий в связи с исполнением обязательств по вышеуказанному договору </w:t>
      </w:r>
      <w:r>
        <w:rPr>
          <w:rFonts w:ascii="Verdana" w:hAnsi="Verdana"/>
          <w:spacing w:val="-2"/>
        </w:rPr>
        <w:t>купли-продажи.</w:t>
      </w:r>
    </w:p>
    <w:p>
      <w:pPr>
        <w:pStyle w:val="BodyText"/>
        <w:spacing w:line="216" w:lineRule="auto"/>
        <w:ind w:right="290" w:firstLine="720"/>
        <w:jc w:val="both"/>
        <w:rPr>
          <w:rFonts w:ascii="Verdana" w:hAnsi="Verdana"/>
        </w:rPr>
      </w:pPr>
    </w:p>
    <w:p>
      <w:pPr>
        <w:pStyle w:val="Heading2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  </w:t>
      </w: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 Степанов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pStyle w:val="BodyText"/>
        <w:spacing w:before="191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1029969" cy="6350"/>
                <wp:effectExtent l="0" t="0" r="0" b="0"/>
                <wp:docPr id="15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2" name="Group 1"/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13" name="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rect l="l" t="t" r="r" b="b"/>
                            <a:pathLst>
                              <a:path w="1029969" h="0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BC5312EC-4EAF-B4E2-674DF339B0CC" coordsize="1029969,6350" style="width:81.0999pt;height:0.5pt;margin-top:0pt;margin-left:0pt;mso-wrap-distance-left:0pt;mso-wrap-distance-right:0pt;mso-wrap-distance-top:0pt;mso-wrap-distance-bottom:0pt;mso-position-horizontal-relative:margin;mso-position-vertical-relative:margin;rotation:0.000000;z-index:0;">
                <v:shape id="AE736088-32BE-C785-1529B4F59E1A" coordsize="21600,21600" style="width:1029969;height:1270;left:0;top:2967;rotation:0.000000;" strokecolor="#000000" strokeweight="0.467244pt" path="m0,0 l1029879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>
      <w:pPr>
        <w:spacing w:before="174"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>
      <w:pPr>
        <w:pStyle w:val="BodyText"/>
        <w:spacing w:before="282"/>
        <w:ind w:left="0"/>
        <w:rPr>
          <w:rFonts w:ascii="Verdana" w:hAnsi="Verdana"/>
          <w:b/>
        </w:rPr>
      </w:pPr>
    </w:p>
    <w:sectPr>
      <w:type w:val="nextPage"/>
      <w:pgSz w:w="11910" w:h="16840"/>
      <w:pgMar w:top="320" w:right="566" w:bottom="280" w:left="1700" w:header="720" w:footer="720" w:gutter="0"/>
      <w:pgNumType w:start="2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3" w:hanging="696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bidi="ar-SA" w:eastAsia="en-US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ind w:left="3" w:hanging="175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1"/>
      <w:numFmt w:val="decimal"/>
      <w:lvlText w:val="%1.%2."/>
      <w:lvlJc w:val="left"/>
      <w:pPr>
        <w:ind w:left="3" w:hanging="327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bidi="ar-SA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  <w:rPr>
      <w:rFonts w:ascii="Noto Sans" w:cs="Noto Sans" w:eastAsia="Noto Sans" w:hAnsi="Noto Sans"/>
      <w:lang w:val="ru-RU"/>
    </w:rPr>
  </w:style>
  <w:style w:type="paragraph" w:styleId="Heading1">
    <w:name w:val="Heading 1"/>
    <w:basedOn w:val="Normal"/>
    <w:link w:val="Заголовок1Знак"/>
    <w:uiPriority w:val="9"/>
    <w:qFormat w:val="on"/>
    <w:pPr>
      <w:ind w:left="1028" w:right="277"/>
      <w:jc w:val="center"/>
    </w:pPr>
    <w:rPr>
      <w:b/>
      <w:bCs/>
      <w:sz w:val="24"/>
      <w:szCs w:val="24"/>
    </w:rPr>
  </w:style>
  <w:style w:type="paragraph" w:styleId="Heading2">
    <w:name w:val="Heading 2"/>
    <w:basedOn w:val="Normal"/>
    <w:link w:val="Заголовок2Знак"/>
    <w:uiPriority w:val="9"/>
    <w:unhideWhenUsed w:val="on"/>
    <w:qFormat w:val="on"/>
    <w:pPr>
      <w:spacing w:line="231" w:lineRule="exact"/>
      <w:ind w:left="3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Заголовок8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pBdr>
        <w:bottom w:val="single" w:color="4f81bd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ТекстЗнак"/>
    <w:uiPriority w:val="99"/>
    <w:semiHidden w:val="on"/>
    <w:unhideWhenUsed w:val="on"/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ВерхнийколонтитулЗнак"/>
    <w:uiPriority w:val="99"/>
    <w:unhideWhenUsed w:val="on"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_0">
    <w:name w:val="Table Normal_0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 w:val="on"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 w:val="on"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 w:val="on"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openxmlformats.org/officeDocument/2006/relationships/numbering" Target="numbering.xml"/><Relationship Id="rId9" Type="http://schemas.openxmlformats.org/officeDocument/2006/relationships/styles" Target="styles.xml"/><Relationship Id="rId2" Type="http://schemas.openxmlformats.org/officeDocument/2006/relationships/webSettings" Target="webSettings.xml"/><Relationship Id="rId4" Type="http://schemas.openxmlformats.org/officeDocument/2006/relationships/hyperlink" Target="mailto:bankrot@au.spb.ru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Валерия Антонова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