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tbl>
      <w:tblPr>
        <w:tblStyle w:val="TableNormal_0"/>
        <w:tblW w:w="0" w:type="auto"/>
        <w:tblInd w:w="9" w:type="dxa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1E0"/>
      </w:tblPr>
      <w:tblGrid>
        <w:gridCol w:w="9570"/>
      </w:tblGrid>
      <w:tr>
        <w:tblPrEx>
          <w:tblW w:w="0" w:type="auto"/>
          <w:tblInd w:w="9" w:type="dxa"/>
          <w:tblBorders>
            <w:top w:val="none" w:sz="4" w:space="0"/>
            <w:left w:val="none" w:sz="4" w:space="0"/>
            <w:bottom w:val="none" w:sz="4" w:space="0"/>
            <w:right w:val="none" w:sz="4" w:space="0"/>
            <w:insideH w:val="none" w:sz="4" w:space="0"/>
            <w:insideV w:val="none" w:sz="4" w:space="0"/>
          </w:tblBorders>
          <w:tblLayout w:type="fixed"/>
          <w:tblLook w:val="01E0"/>
        </w:tblPrEx>
        <w:trPr>
          <w:trHeight w:val="399"/>
        </w:trPr>
        <w:tc>
          <w:tcPr>
            <w:cnfStyle w:val="101000000000"/>
            <w:tcW w:w="9570" w:type="dxa"/>
            <w:tcBorders>
              <w:bottom w:val="single" w:color="000000" w:sz="4" w:space="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Лазарева</w:t>
            </w:r>
            <w:r>
              <w:rPr>
                <w:spacing w:val="6"/>
                <w:sz w:val="19"/>
              </w:rPr>
              <w:t xml:space="preserve"> Дмитрия</w:t>
            </w:r>
            <w:r>
              <w:rPr>
                <w:spacing w:val="5"/>
                <w:sz w:val="19"/>
              </w:rPr>
              <w:t xml:space="preserve"> Александровича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cnfStyle w:val="011000000000"/>
            <w:tcW w:w="9570" w:type="dxa"/>
            <w:tcBorders>
              <w:top w:val="single" w:color="000000" w:sz="4" w:space="0"/>
            </w:tcBorders>
          </w:tcPr>
          <w:p>
            <w:pPr>
              <w:pStyle w:val="TableParagraph"/>
              <w:spacing w:before="117" w:line="260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r>
              <w:fldChar w:fldCharType="begin"/>
            </w:r>
            <w:r>
              <w:instrText xml:space="preserve">HYPERLINK "mailto:bankrot@au.spb.ru" </w:instrText>
            </w:r>
            <w:r>
              <w:fldChar w:fldCharType="separate"/>
            </w:r>
            <w:r>
              <w:rPr>
                <w:sz w:val="19"/>
              </w:rPr>
              <w:t>bankrot@au.spb.ru</w:t>
            </w:r>
            <w:r>
              <w:fldChar w:fldCharType="end"/>
            </w:r>
          </w:p>
        </w:tc>
      </w:tr>
    </w:tbl>
    <w:p>
      <w:pPr>
        <w:pStyle w:val="BodyText"/>
        <w:ind w:left="0"/>
        <w:rPr>
          <w:b/>
          <w:sz w:val="24"/>
        </w:rPr>
      </w:pPr>
    </w:p>
    <w:p>
      <w:pPr>
        <w:pStyle w:val="BodyText"/>
        <w:spacing w:before="118"/>
        <w:ind w:left="0"/>
        <w:rPr>
          <w:b/>
          <w:sz w:val="24"/>
        </w:rPr>
      </w:pPr>
    </w:p>
    <w:p>
      <w:pPr>
        <w:pStyle w:val="Heading1"/>
        <w:ind w:right="1306"/>
        <w:rPr/>
      </w:pPr>
      <w:r>
        <w:t>Договор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rPr>
          <w:spacing w:val="-2"/>
        </w:rPr>
        <w:t>задатке</w:t>
      </w:r>
      <w:r>
        <w:rPr>
          <w:spacing w:val="-2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250" w:firstLine="680"/>
        <w:jc w:val="both"/>
        <w:rPr>
          <w:rFonts w:ascii="Verdana" w:hAnsi="Verdana"/>
          <w:color w:val="000000"/>
          <w:sz w:val="16"/>
          <w:szCs w:val="16"/>
          <w:rtl w:val="off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Решением АРБИТРАЖНОГО СУДА города Санкт-Петербурга и Ленинградской области от 15.04.2026 г. по делу № А56-28959/2026 А.Ю. Блажко Полунин Андрей Арнольдович (дата рождения: 28.09.1972 г., место рождения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>: г. Мелитополь Запорожская обл., СНИЛС 220-153-450 99, ИНН 900100894148, адрес регистрации по месту жительства: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 xml:space="preserve">г. Санкт-Петербург, г. Красное Село, ул. Красногородская, д.9, к.1, лит.А) 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>приз</w:t>
      </w:r>
      <w:r>
        <w:rPr>
          <w:rFonts w:ascii="Verdana" w:hAnsi="Verdana"/>
          <w:color w:val="000000"/>
          <w:sz w:val="16"/>
          <w:szCs w:val="16"/>
          <w:rtl w:val="off"/>
          <w:lang w:val="en-US"/>
        </w:rPr>
        <w:t xml:space="preserve">нан несостоятельным (банкротом) и введена процедура реализации имущества гражданина.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250" w:firstLine="700"/>
        <w:jc w:val="both"/>
        <w:rPr>
          <w:rFonts w:ascii="Verdana" w:hAnsi="Verdana"/>
          <w:color w:val="000000"/>
          <w:sz w:val="16"/>
          <w:szCs w:val="16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>
      <w:pPr>
        <w:pStyle w:val="BodyText"/>
        <w:spacing w:before="197"/>
        <w:ind w:left="723"/>
        <w:rPr>
          <w:rFonts w:ascii="Verdana" w:hAnsi="Verdana"/>
        </w:rPr>
      </w:pPr>
      <w:r>
        <w:rPr>
          <w:rFonts w:ascii="Verdana" w:hAnsi="Verdana"/>
        </w:rPr>
        <w:t>Порядок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проведения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торгов по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продаже имущества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  <w:spacing w:val="-2"/>
        </w:rPr>
        <w:t>Должника</w:t>
      </w:r>
    </w:p>
    <w:p>
      <w:pPr>
        <w:pStyle w:val="BodyText"/>
        <w:spacing w:before="211" w:line="216" w:lineRule="auto"/>
        <w:ind w:right="294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Проект договора купли-продажи имущества и подписанный электронной подписью организатора торгов договор о задатке подлежат разме</w:t>
      </w:r>
      <w:r>
        <w:rPr>
          <w:rFonts w:ascii="Verdana" w:hAnsi="Verdana"/>
        </w:rPr>
        <w:t>щению на электронной площадке и включению в Единый федеральный реестр сведений о банкротстве без опубликования в официальном издании.</w:t>
      </w:r>
    </w:p>
    <w:p>
      <w:pPr>
        <w:pStyle w:val="BodyText"/>
        <w:spacing w:line="216" w:lineRule="auto"/>
        <w:ind w:right="274" w:firstLine="720"/>
        <w:jc w:val="both"/>
        <w:rPr>
          <w:rFonts w:ascii="Verdana" w:hAnsi="Verdana"/>
        </w:rPr>
      </w:pPr>
      <w:r>
        <w:rPr>
          <w:rFonts w:ascii="Verdana" w:hAnsi="Verdana"/>
        </w:rPr>
        <w:t>Перечисление задатка заявителем в соответствии с электронным сообщением о продаже признается акцептом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договора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задатке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может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опубликовываться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ЭТП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не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заключаться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в письменном виде с заявителем.</w:t>
      </w:r>
    </w:p>
    <w:p>
      <w:pPr>
        <w:pStyle w:val="BodyText"/>
        <w:spacing w:before="196" w:line="231" w:lineRule="exact"/>
        <w:ind w:left="723"/>
        <w:rPr>
          <w:rFonts w:ascii="Verdana" w:hAnsi="Verdana"/>
        </w:rPr>
      </w:pPr>
      <w:r>
        <w:rPr>
          <w:rFonts w:ascii="Verdana" w:hAnsi="Verdana"/>
        </w:rPr>
        <w:t>Общие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правила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продажи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  <w:spacing w:val="-2"/>
        </w:rPr>
        <w:t>имущества</w:t>
      </w:r>
    </w:p>
    <w:p>
      <w:pPr>
        <w:pStyle w:val="BodyText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highlight w:val="none"/>
          <w:u w:val="single"/>
        </w:rPr>
      </w:pPr>
      <w:r>
        <w:rPr>
          <w:rFonts w:ascii="Verdana" w:hAnsi="Verdana"/>
        </w:rPr>
        <w:t xml:space="preserve">Задаток должен быть внесен Заявителем до даты подачи заявки на </w:t>
      </w:r>
      <w:r>
        <w:rPr>
          <w:rFonts w:ascii="Verdana" w:hAnsi="Verdana"/>
        </w:rPr>
        <w:t>задатковый</w:t>
      </w:r>
      <w:r>
        <w:rPr>
          <w:rFonts w:ascii="Verdana" w:hAnsi="Verdana"/>
        </w:rPr>
        <w:t xml:space="preserve"> счет должника: </w:t>
      </w:r>
      <w:r>
        <w:rPr>
          <w:rFonts w:ascii="Verdana" w:hAnsi="Verdana"/>
        </w:rPr>
        <w:br w:type="textWrapping"/>
      </w:r>
      <w:r>
        <w:rPr>
          <w:rFonts w:ascii="Verdana" w:hAnsi="Verdana"/>
          <w:highlight w:val="none"/>
          <w:u w:val="single"/>
        </w:rPr>
        <w:t xml:space="preserve">Получатель: </w:t>
      </w:r>
      <w:r>
        <w:rPr>
          <w:rFonts w:ascii="Verdana" w:hAnsi="Verdana"/>
          <w:highlight w:val="none"/>
          <w:u w:val="single"/>
        </w:rPr>
        <w:t>Полунин</w:t>
      </w:r>
      <w:r>
        <w:rPr>
          <w:rFonts w:ascii="Verdana" w:hAnsi="Verdana"/>
          <w:highlight w:val="none"/>
          <w:u w:val="single"/>
        </w:rPr>
        <w:t xml:space="preserve"> </w:t>
      </w:r>
      <w:r>
        <w:rPr>
          <w:rFonts w:ascii="Verdana" w:hAnsi="Verdana"/>
          <w:highlight w:val="none"/>
          <w:u w:val="single"/>
        </w:rPr>
        <w:t>Андрей</w:t>
      </w:r>
      <w:r>
        <w:rPr>
          <w:rFonts w:ascii="Verdana" w:hAnsi="Verdana"/>
          <w:highlight w:val="none"/>
          <w:u w:val="single"/>
        </w:rPr>
        <w:t xml:space="preserve"> </w:t>
      </w:r>
      <w:r>
        <w:rPr>
          <w:rFonts w:ascii="Verdana" w:hAnsi="Verdana"/>
          <w:highlight w:val="none"/>
          <w:u w:val="single"/>
        </w:rPr>
        <w:t>Арнольдович</w:t>
      </w:r>
      <w:r>
        <w:rPr>
          <w:rFonts w:ascii="Verdana" w:hAnsi="Verdana"/>
          <w:spacing w:val="40"/>
          <w:u w:val="single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Verdana" w:hAnsi="Verdana"/>
          <w:spacing w:val="40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Номер счета:</w:t>
      </w:r>
      <w:r>
        <w:rPr>
          <w:rFonts w:ascii="Verdana" w:hAnsi="Verdana"/>
          <w:color w:val="000000"/>
          <w:sz w:val="16"/>
          <w:szCs w:val="16"/>
          <w:highlight w:val="none"/>
          <w:u w:val="single"/>
          <w:rtl w:val="off"/>
          <w:lang w:val="en-US"/>
        </w:rPr>
        <w:t>40817810250226382186</w:t>
      </w:r>
      <w:r>
        <w:rPr>
          <w:rFonts w:ascii="Verdana" w:hAnsi="Verdana"/>
          <w:color w:val="000000"/>
          <w:sz w:val="16"/>
          <w:szCs w:val="16"/>
          <w:u w:val="single"/>
          <w:rtl w:val="off"/>
          <w:lang w:val="en-US"/>
        </w:rPr>
        <w:t xml:space="preserve"> </w:t>
      </w:r>
      <w:r>
        <w:rPr>
          <w:rFonts w:ascii="Verdana" w:hAnsi="Verdana"/>
          <w:sz w:val="16"/>
          <w:szCs w:val="16"/>
          <w:highlight w:val="none"/>
          <w:u w:val="single"/>
        </w:rPr>
        <w:br w:type="textWrapping"/>
      </w:r>
      <w:r>
        <w:rPr>
          <w:rFonts w:ascii="Verdana" w:hAnsi="Verdana"/>
          <w:sz w:val="16"/>
          <w:szCs w:val="16"/>
          <w:highlight w:val="none"/>
          <w:u w:val="single"/>
        </w:rPr>
        <w:t xml:space="preserve">Банк получателя: ФИЛИАЛ </w:t>
      </w:r>
      <w:r>
        <w:rPr>
          <w:rFonts w:ascii="Verdana" w:hAnsi="Verdana"/>
          <w:sz w:val="16"/>
          <w:szCs w:val="16"/>
          <w:highlight w:val="none"/>
          <w:u w:val="single"/>
        </w:rPr>
        <w:t>"ЦЕНТРАЛЬНЫЙ" ПАО "СОВКОМБАНК"</w:t>
      </w:r>
      <w:r>
        <w:rPr>
          <w:rFonts w:ascii="Verdana" w:hAnsi="Verdana"/>
          <w:spacing w:val="40"/>
          <w:sz w:val="16"/>
          <w:szCs w:val="16"/>
          <w:highlight w:val="none"/>
          <w:u w:val="single"/>
        </w:rPr>
        <w:t xml:space="preserve"> </w:t>
      </w:r>
    </w:p>
    <w:p>
      <w:pPr>
        <w:pStyle w:val="BodyText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БИК:</w:t>
      </w:r>
      <w:r>
        <w:rPr>
          <w:rFonts w:ascii="Verdana" w:hAnsi="Verdana"/>
          <w:spacing w:val="-1"/>
          <w:sz w:val="16"/>
          <w:szCs w:val="16"/>
          <w:highlight w:val="none"/>
          <w:u w:val="single"/>
        </w:rPr>
        <w:t xml:space="preserve"> </w:t>
      </w:r>
      <w:r>
        <w:rPr>
          <w:rFonts w:ascii="Verdana" w:hAnsi="Verdana"/>
          <w:sz w:val="16"/>
          <w:szCs w:val="16"/>
          <w:highlight w:val="none"/>
          <w:u w:val="single"/>
        </w:rPr>
        <w:t>045004763</w:t>
      </w:r>
    </w:p>
    <w:p>
      <w:pPr>
        <w:pStyle w:val="BodyText"/>
        <w:tabs>
          <w:tab w:val="left" w:pos="2317"/>
        </w:tabs>
        <w:ind w:left="0"/>
        <w:rPr>
          <w:rFonts w:ascii="Verdana" w:hAnsi="Verdana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ИНН:</w:t>
      </w:r>
      <w:r>
        <w:rPr>
          <w:rFonts w:ascii="Verdana" w:hAnsi="Verdana"/>
          <w:spacing w:val="-1"/>
          <w:sz w:val="16"/>
          <w:szCs w:val="16"/>
          <w:highlight w:val="none"/>
          <w:u w:val="single"/>
        </w:rPr>
        <w:t xml:space="preserve"> 4401116480</w:t>
      </w:r>
    </w:p>
    <w:p>
      <w:pPr>
        <w:pStyle w:val="BodyText"/>
        <w:tabs>
          <w:tab w:val="left" w:pos="3945"/>
        </w:tabs>
        <w:ind w:left="0"/>
        <w:rPr>
          <w:rFonts w:ascii="Verdana" w:hAnsi="Verdana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Корреспондентский счет:</w:t>
      </w:r>
      <w:r>
        <w:rPr>
          <w:rFonts w:ascii="Verdana" w:hAnsi="Verdana"/>
          <w:spacing w:val="-2"/>
          <w:sz w:val="16"/>
          <w:szCs w:val="16"/>
          <w:highlight w:val="none"/>
          <w:u w:val="single"/>
        </w:rPr>
        <w:t>30101810150040000763</w:t>
      </w:r>
    </w:p>
    <w:p>
      <w:pPr>
        <w:pStyle w:val="BodyText"/>
        <w:tabs>
          <w:tab w:val="left" w:pos="2402"/>
        </w:tabs>
        <w:ind w:left="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ОГРН:</w:t>
      </w:r>
      <w:r>
        <w:rPr>
          <w:rFonts w:ascii="Verdana" w:hAnsi="Verdana"/>
          <w:spacing w:val="-1"/>
          <w:sz w:val="16"/>
          <w:szCs w:val="16"/>
          <w:highlight w:val="none"/>
          <w:u w:val="single"/>
        </w:rPr>
        <w:t xml:space="preserve"> 1144400000425</w:t>
      </w:r>
    </w:p>
    <w:p>
      <w:pPr>
        <w:pStyle w:val="BodyText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</w:rPr>
      </w:pPr>
      <w:r>
        <w:rPr>
          <w:rFonts w:ascii="Verdana" w:hAnsi="Verdana"/>
        </w:rPr>
        <w:t>Остальные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реквизиты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финансового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</w:rPr>
        <w:t>управляющего</w:t>
      </w:r>
      <w:r>
        <w:rPr>
          <w:rFonts w:ascii="Verdana" w:hAnsi="Verdana"/>
          <w:spacing w:val="78"/>
        </w:rPr>
        <w:t xml:space="preserve"> </w:t>
      </w:r>
      <w:r>
        <w:rPr>
          <w:rFonts w:ascii="Verdana" w:hAnsi="Verdana"/>
        </w:rPr>
        <w:t>приведены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79"/>
        </w:rPr>
        <w:t xml:space="preserve"> </w:t>
      </w:r>
      <w:r>
        <w:rPr>
          <w:rFonts w:ascii="Verdana" w:hAnsi="Verdana"/>
        </w:rPr>
        <w:t>верхней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части</w:t>
      </w:r>
      <w:r>
        <w:rPr>
          <w:rFonts w:ascii="Verdana" w:hAnsi="Verdana"/>
          <w:spacing w:val="77"/>
        </w:rPr>
        <w:t xml:space="preserve"> </w:t>
      </w:r>
      <w:r>
        <w:rPr>
          <w:rFonts w:ascii="Verdana" w:hAnsi="Verdana"/>
        </w:rPr>
        <w:t>первого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</w:rPr>
        <w:t>листа настоящего документа.</w:t>
      </w:r>
    </w:p>
    <w:p>
      <w:pPr>
        <w:pStyle w:val="BodyText"/>
        <w:ind w:left="152" w:right="288" w:firstLine="699"/>
        <w:jc w:val="both"/>
        <w:rPr>
          <w:rFonts w:ascii="Verdana" w:hAnsi="Verdana"/>
        </w:rPr>
      </w:pPr>
      <w:r>
        <w:rPr>
          <w:rFonts w:ascii="Verdana" w:hAnsi="Verdana"/>
        </w:rPr>
        <w:t>В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назначении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платежа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указывается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Ф.И.О.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или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наименование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</w:rPr>
        <w:t>организации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заявителя,</w:t>
      </w:r>
      <w:r>
        <w:rPr>
          <w:rFonts w:ascii="Verdana" w:hAnsi="Verdana"/>
          <w:spacing w:val="-5"/>
        </w:rPr>
        <w:t xml:space="preserve"> </w:t>
      </w:r>
      <w:r>
        <w:rPr>
          <w:rFonts w:ascii="Verdana" w:hAnsi="Verdana"/>
        </w:rPr>
        <w:t>ссылка на внесение задатка для участия в торгах по соответствующему Лоту, а именно указание на номер и наименование Лота, номер торгов.</w:t>
      </w:r>
    </w:p>
    <w:p>
      <w:pPr>
        <w:pStyle w:val="Heading2"/>
        <w:spacing w:before="189"/>
        <w:ind w:firstLine="139"/>
        <w:jc w:val="both"/>
        <w:rPr>
          <w:rFonts w:ascii="Verdana" w:hAnsi="Verdana"/>
        </w:rPr>
      </w:pP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Степанов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9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pStyle w:val="BodyText"/>
        <w:spacing w:before="1"/>
        <w:rPr>
          <w:rFonts w:ascii="Verdana" w:hAnsi="Verdana"/>
          <w:b/>
        </w:rPr>
      </w:pPr>
    </w:p>
    <w:p>
      <w:pPr>
        <w:pStyle w:val="BodyText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1029969" cy="6350"/>
                <wp:effectExtent l="0" t="0" r="0" b="0"/>
                <wp:docPr id="16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15" name="Group 1"/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rect l="l" t="t" r="r" b="b"/>
                            <a:pathLst>
                              <a:path w="1029969" h="0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EF7115B7-84A2-7B38-96416AC612BF" coordsize="1029969,6350" style="width:81.0999pt;height:0.5pt;margin-top:0pt;margin-left:0pt;mso-wrap-distance-left:0pt;mso-wrap-distance-right:0pt;mso-wrap-distance-top:0pt;mso-wrap-distance-bottom:0pt;mso-position-horizontal-relative:margin;mso-position-vertical-relative:margin;rotation:0.000000;z-index:0;">
                <v:shape id="D4A70406-5D30-D54A-8A23803518F9" coordsize="21600,21600" style="width:1029969;height:1270;left:0;top:2967;rotation:0.000000;" strokecolor="#000000" strokeweight="0.467244pt" path="m0,0 l1029879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>
      <w:pPr>
        <w:spacing w:before="174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>
      <w:pPr>
        <w:tabs>
          <w:tab w:val="left" w:pos="1764"/>
        </w:tabs>
        <w:spacing w:before="2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>
      <w:pPr>
        <w:pStyle w:val="BodyText"/>
        <w:spacing w:before="283"/>
        <w:ind w:left="0"/>
        <w:rPr>
          <w:rFonts w:ascii="Verdana" w:hAnsi="Verdana"/>
          <w:b/>
          <w:sz w:val="20"/>
        </w:rPr>
      </w:pPr>
    </w:p>
    <w:sectPr>
      <w:pgSz w:w="11910" w:h="16840"/>
      <w:pgMar w:top="760" w:right="566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3" w:hanging="696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bidi="ar-SA" w:eastAsia="en-US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ind w:left="3" w:hanging="175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1"/>
      <w:numFmt w:val="decimal"/>
      <w:lvlText w:val="%1.%2."/>
      <w:lvlJc w:val="left"/>
      <w:pPr>
        <w:ind w:left="3" w:hanging="327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bidi="ar-SA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  <w:rPr>
      <w:rFonts w:ascii="Noto Sans" w:cs="Noto Sans" w:eastAsia="Noto Sans" w:hAnsi="Noto Sans"/>
      <w:lang w:val="ru-RU"/>
    </w:rPr>
  </w:style>
  <w:style w:type="paragraph" w:styleId="Heading1">
    <w:name w:val="Heading 1"/>
    <w:basedOn w:val="Normal"/>
    <w:link w:val="Заголовок1Знак"/>
    <w:uiPriority w:val="9"/>
    <w:qFormat w:val="on"/>
    <w:pPr>
      <w:ind w:left="1028" w:right="277"/>
      <w:jc w:val="center"/>
    </w:pPr>
    <w:rPr>
      <w:b/>
      <w:bCs/>
      <w:sz w:val="24"/>
      <w:szCs w:val="24"/>
    </w:rPr>
  </w:style>
  <w:style w:type="paragraph" w:styleId="Heading2">
    <w:name w:val="Heading 2"/>
    <w:basedOn w:val="Normal"/>
    <w:link w:val="Заголовок2Знак"/>
    <w:uiPriority w:val="9"/>
    <w:unhideWhenUsed w:val="on"/>
    <w:qFormat w:val="on"/>
    <w:pPr>
      <w:spacing w:line="231" w:lineRule="exact"/>
      <w:ind w:left="3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Заголовок8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pBdr>
        <w:bottom w:val="single" w:color="4f81bd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ТекстЗнак"/>
    <w:uiPriority w:val="99"/>
    <w:semiHidden w:val="on"/>
    <w:unhideWhenUsed w:val="on"/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ВерхнийколонтитулЗнак"/>
    <w:uiPriority w:val="99"/>
    <w:unhideWhenUsed w:val="on"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_0">
    <w:name w:val="Table Normal_0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 w:val="on"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 w:val="on"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 w:val="on"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2" Type="http://schemas.openxmlformats.org/officeDocument/2006/relationships/webSettings" Target="webSettings.xml"/><Relationship Id="rId4" Type="http://schemas.openxmlformats.org/officeDocument/2006/relationships/hyperlink" Target="mailto:bankrot@au.spb.ru" TargetMode="Externa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Валерия Антонова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