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688E">
      <w:pPr>
        <w:pStyle w:val="31"/>
        <w:jc w:val="center"/>
        <w:rPr>
          <w:sz w:val="24"/>
          <w:szCs w:val="24"/>
        </w:rPr>
      </w:pPr>
      <w:bookmarkStart w:id="0" w:name="_docStart_1"/>
      <w:bookmarkEnd w:id="0"/>
      <w:bookmarkStart w:id="1" w:name="_title_1"/>
      <w:bookmarkStart w:id="2" w:name="_ref_1-53a43eb5a2024a"/>
      <w:r>
        <w:rPr>
          <w:sz w:val="24"/>
          <w:szCs w:val="24"/>
        </w:rPr>
        <w:t>Договор купли-продажи</w:t>
      </w:r>
      <w:bookmarkEnd w:id="1"/>
      <w:bookmarkEnd w:id="2"/>
      <w:r>
        <w:rPr>
          <w:sz w:val="24"/>
          <w:szCs w:val="24"/>
        </w:rPr>
        <w:t>.</w:t>
      </w:r>
    </w:p>
    <w:p w14:paraId="7A324252">
      <w:pPr>
        <w:pStyle w:val="31"/>
        <w:jc w:val="both"/>
        <w:rPr>
          <w:sz w:val="24"/>
          <w:szCs w:val="24"/>
        </w:rPr>
      </w:pPr>
    </w:p>
    <w:p w14:paraId="310F9FF8">
      <w:pPr>
        <w:pStyle w:val="31"/>
        <w:jc w:val="both"/>
        <w:rPr>
          <w:rFonts w:hint="default"/>
          <w:bCs/>
          <w:sz w:val="24"/>
          <w:szCs w:val="24"/>
          <w:lang w:val="ru-RU"/>
        </w:rPr>
      </w:pPr>
      <w:r>
        <w:rPr>
          <w:rFonts w:hint="default"/>
          <w:bCs/>
          <w:sz w:val="24"/>
          <w:szCs w:val="24"/>
          <w:lang w:val="ru-RU"/>
        </w:rPr>
        <w:t xml:space="preserve">г.   Пенза     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rFonts w:hint="default"/>
          <w:bCs/>
          <w:sz w:val="24"/>
          <w:szCs w:val="24"/>
          <w:lang w:val="ru-RU"/>
        </w:rPr>
        <w:t xml:space="preserve">            </w:t>
      </w:r>
      <w:r>
        <w:rPr>
          <w:bCs/>
          <w:sz w:val="24"/>
          <w:szCs w:val="24"/>
        </w:rPr>
        <w:t>«</w:t>
      </w:r>
      <w:r>
        <w:rPr>
          <w:rFonts w:hint="default"/>
          <w:bCs/>
          <w:sz w:val="24"/>
          <w:szCs w:val="24"/>
          <w:lang w:val="ru-RU"/>
        </w:rPr>
        <w:t xml:space="preserve">    </w:t>
      </w:r>
      <w:r>
        <w:rPr>
          <w:bCs/>
          <w:sz w:val="24"/>
          <w:szCs w:val="24"/>
        </w:rPr>
        <w:t xml:space="preserve">» </w:t>
      </w:r>
      <w:r>
        <w:rPr>
          <w:rFonts w:hint="default"/>
          <w:bCs/>
          <w:sz w:val="24"/>
          <w:szCs w:val="24"/>
          <w:lang w:val="ru-RU"/>
        </w:rPr>
        <w:t xml:space="preserve">              2026</w:t>
      </w:r>
      <w:bookmarkStart w:id="31" w:name="_GoBack"/>
      <w:bookmarkEnd w:id="31"/>
      <w:r>
        <w:rPr>
          <w:bCs/>
          <w:sz w:val="24"/>
          <w:szCs w:val="24"/>
        </w:rPr>
        <w:t xml:space="preserve"> г</w:t>
      </w:r>
      <w:r>
        <w:rPr>
          <w:bCs/>
          <w:sz w:val="24"/>
          <w:szCs w:val="24"/>
          <w:lang w:val="ru-RU"/>
        </w:rPr>
        <w:t>ода</w:t>
      </w:r>
    </w:p>
    <w:p w14:paraId="23D34598">
      <w:pPr>
        <w:pStyle w:val="31"/>
        <w:jc w:val="both"/>
        <w:rPr>
          <w:bCs/>
          <w:sz w:val="24"/>
          <w:szCs w:val="24"/>
        </w:rPr>
      </w:pPr>
    </w:p>
    <w:p w14:paraId="1116801E">
      <w:pPr>
        <w:pStyle w:val="31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  <w:lang w:val="ru-RU"/>
        </w:rPr>
        <w:t>Финансовый</w:t>
      </w:r>
      <w:r>
        <w:rPr>
          <w:sz w:val="24"/>
          <w:szCs w:val="24"/>
        </w:rPr>
        <w:t xml:space="preserve"> управляющий</w:t>
      </w:r>
      <w:r>
        <w:rPr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Тарова Алексея Юрьевича (31.03.1985 г.р., СНИЛС 138-912-928 94, ИНН 583608939348, адрес: 440008, Пензенская обл., г. Пенза, ул. Ключевая, д. 26) Кадерова Гульнара Исхаковна, действующая на основании Решения Арбитражного суда Пензенской области по делу № А49-9813/2025 от 12.11.202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, именуем</w:t>
      </w:r>
      <w:r>
        <w:rPr>
          <w:sz w:val="24"/>
          <w:szCs w:val="24"/>
          <w:lang w:val="ru-RU"/>
        </w:rPr>
        <w:t>ый</w:t>
      </w:r>
      <w:r>
        <w:rPr>
          <w:sz w:val="24"/>
          <w:szCs w:val="24"/>
        </w:rPr>
        <w:t xml:space="preserve"> в дальнейшем «Прода</w:t>
      </w:r>
      <w:r>
        <w:rPr>
          <w:bCs/>
          <w:sz w:val="24"/>
          <w:szCs w:val="24"/>
        </w:rPr>
        <w:t xml:space="preserve">вец», с одной стороны, и </w:t>
      </w:r>
      <w:r>
        <w:rPr>
          <w:rFonts w:hint="default"/>
          <w:bCs/>
          <w:sz w:val="24"/>
          <w:szCs w:val="24"/>
          <w:lang w:val="ru-RU"/>
        </w:rPr>
        <w:t>...</w:t>
      </w:r>
      <w:r>
        <w:rPr>
          <w:bCs/>
          <w:sz w:val="24"/>
          <w:szCs w:val="24"/>
        </w:rPr>
        <w:t>, именуем</w:t>
      </w:r>
      <w:r>
        <w:rPr>
          <w:bCs/>
          <w:sz w:val="24"/>
          <w:szCs w:val="24"/>
          <w:lang w:val="ru-RU"/>
        </w:rPr>
        <w:t>ый</w:t>
      </w:r>
      <w:r>
        <w:rPr>
          <w:bCs/>
          <w:sz w:val="24"/>
          <w:szCs w:val="24"/>
        </w:rPr>
        <w:t xml:space="preserve"> в дальнейшем «Покупатель», с другой стороны, </w:t>
      </w:r>
    </w:p>
    <w:p w14:paraId="036D1890">
      <w:pPr>
        <w:pStyle w:val="31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заключили настоящий договор о нижеследующем:</w:t>
      </w:r>
    </w:p>
    <w:p w14:paraId="05EFB126">
      <w:pPr>
        <w:pStyle w:val="31"/>
        <w:jc w:val="both"/>
        <w:rPr>
          <w:bCs/>
          <w:sz w:val="24"/>
          <w:szCs w:val="24"/>
        </w:rPr>
      </w:pPr>
    </w:p>
    <w:p w14:paraId="36FD2353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3" w:name="_ref_1-80051dff3c044a"/>
      <w:r>
        <w:rPr>
          <w:bCs/>
          <w:sz w:val="24"/>
          <w:szCs w:val="24"/>
        </w:rPr>
        <w:t>Предмет договора</w:t>
      </w:r>
      <w:bookmarkEnd w:id="3"/>
      <w:r>
        <w:rPr>
          <w:sz w:val="24"/>
          <w:szCs w:val="24"/>
        </w:rPr>
        <w:t>.</w:t>
      </w:r>
    </w:p>
    <w:p w14:paraId="20A11352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bookmarkStart w:id="4" w:name="_ref_1-48e05ad471504d"/>
      <w:r>
        <w:rPr>
          <w:bCs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</w:t>
      </w:r>
      <w:bookmarkEnd w:id="4"/>
      <w:r>
        <w:rPr>
          <w:bCs/>
          <w:sz w:val="24"/>
          <w:szCs w:val="24"/>
        </w:rPr>
        <w:t xml:space="preserve">следующее имущество, составляющее </w:t>
      </w:r>
      <w:r>
        <w:rPr>
          <w:bCs/>
          <w:sz w:val="24"/>
          <w:szCs w:val="24"/>
          <w:lang w:val="ru-RU"/>
        </w:rPr>
        <w:t>Л</w:t>
      </w:r>
      <w:r>
        <w:rPr>
          <w:sz w:val="24"/>
          <w:szCs w:val="24"/>
        </w:rPr>
        <w:t>от</w:t>
      </w:r>
      <w:r>
        <w:rPr>
          <w:bCs/>
          <w:sz w:val="24"/>
          <w:szCs w:val="24"/>
        </w:rPr>
        <w:t xml:space="preserve"> №</w:t>
      </w:r>
      <w:r>
        <w:rPr>
          <w:rFonts w:hint="default"/>
          <w:bCs/>
          <w:sz w:val="24"/>
          <w:szCs w:val="24"/>
          <w:lang w:val="ru-RU"/>
        </w:rPr>
        <w:t xml:space="preserve"> 1</w:t>
      </w:r>
      <w:r>
        <w:rPr>
          <w:sz w:val="24"/>
          <w:szCs w:val="24"/>
        </w:rPr>
        <w:t>:</w:t>
      </w:r>
      <w:bookmarkStart w:id="5" w:name="_ref_1-0306e5e33ac141"/>
      <w:r>
        <w:rPr>
          <w:rFonts w:hint="default"/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</w:rPr>
        <w:t>.</w:t>
      </w:r>
    </w:p>
    <w:bookmarkEnd w:id="5"/>
    <w:p w14:paraId="75A8F198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Имущество продается на основании</w:t>
      </w:r>
      <w:r>
        <w:rPr>
          <w:rFonts w:hint="default"/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</w:rPr>
        <w:t xml:space="preserve"> ФЗ «О несостоятельности (банкротстве)» № 127-ФЗ от 26 октября 2002 года.</w:t>
      </w:r>
    </w:p>
    <w:p w14:paraId="06FF70DD">
      <w:pPr>
        <w:pStyle w:val="31"/>
        <w:jc w:val="both"/>
        <w:rPr>
          <w:bCs/>
          <w:sz w:val="24"/>
          <w:szCs w:val="24"/>
        </w:rPr>
      </w:pPr>
    </w:p>
    <w:p w14:paraId="596FD468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6" w:name="_ref_1-8a4c3e63419840"/>
      <w:r>
        <w:rPr>
          <w:bCs/>
          <w:sz w:val="24"/>
          <w:szCs w:val="24"/>
        </w:rPr>
        <w:t>Цена и порядок оплаты</w:t>
      </w:r>
      <w:bookmarkEnd w:id="6"/>
      <w:r>
        <w:rPr>
          <w:sz w:val="24"/>
          <w:szCs w:val="24"/>
        </w:rPr>
        <w:t>.</w:t>
      </w:r>
    </w:p>
    <w:p w14:paraId="64485F96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bookmarkStart w:id="7" w:name="_ref_1-a5c7d5b2418849"/>
      <w:r>
        <w:rPr>
          <w:bCs/>
          <w:sz w:val="24"/>
          <w:szCs w:val="24"/>
        </w:rPr>
        <w:t xml:space="preserve">Общая стоимость Имущества составляет </w:t>
      </w:r>
      <w:r>
        <w:rPr>
          <w:rFonts w:hint="default"/>
          <w:bCs/>
          <w:sz w:val="24"/>
          <w:szCs w:val="24"/>
          <w:lang w:val="ru-RU"/>
        </w:rPr>
        <w:t>...</w:t>
      </w:r>
      <w:r>
        <w:rPr>
          <w:bCs/>
          <w:sz w:val="24"/>
          <w:szCs w:val="24"/>
        </w:rPr>
        <w:t xml:space="preserve"> рубл</w:t>
      </w:r>
      <w:r>
        <w:rPr>
          <w:bCs/>
          <w:sz w:val="24"/>
          <w:szCs w:val="24"/>
          <w:lang w:val="ru-RU"/>
        </w:rPr>
        <w:t>ей</w:t>
      </w:r>
      <w:r>
        <w:rPr>
          <w:bCs/>
          <w:sz w:val="24"/>
          <w:szCs w:val="24"/>
        </w:rPr>
        <w:t>.</w:t>
      </w:r>
    </w:p>
    <w:p w14:paraId="018C7249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На</w:t>
      </w:r>
      <w:r>
        <w:rPr>
          <w:rFonts w:hint="default"/>
          <w:bCs/>
          <w:sz w:val="24"/>
          <w:szCs w:val="24"/>
          <w:lang w:val="ru-RU"/>
        </w:rPr>
        <w:t xml:space="preserve"> дату заключения настоящего договора обязательства по оплате Покупателем произведены в полном объеме. </w:t>
      </w:r>
      <w:bookmarkEnd w:id="7"/>
      <w:r>
        <w:rPr>
          <w:bCs/>
          <w:sz w:val="24"/>
          <w:szCs w:val="24"/>
        </w:rPr>
        <w:t xml:space="preserve"> </w:t>
      </w:r>
    </w:p>
    <w:p w14:paraId="39E6C813">
      <w:pPr>
        <w:pStyle w:val="31"/>
        <w:jc w:val="both"/>
        <w:rPr>
          <w:sz w:val="24"/>
          <w:szCs w:val="24"/>
        </w:rPr>
      </w:pPr>
    </w:p>
    <w:p w14:paraId="3C67A11F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8" w:name="_ref_1-8235d9f04c7743"/>
      <w:r>
        <w:rPr>
          <w:bCs/>
          <w:sz w:val="24"/>
          <w:szCs w:val="24"/>
        </w:rPr>
        <w:t xml:space="preserve">Передача </w:t>
      </w:r>
      <w:r>
        <w:rPr>
          <w:rFonts w:hint="default"/>
          <w:bCs/>
          <w:sz w:val="24"/>
          <w:szCs w:val="24"/>
          <w:lang w:val="ru-RU"/>
        </w:rPr>
        <w:t>движимого</w:t>
      </w:r>
      <w:r>
        <w:rPr>
          <w:bCs/>
          <w:sz w:val="24"/>
          <w:szCs w:val="24"/>
        </w:rPr>
        <w:t xml:space="preserve"> имущества</w:t>
      </w:r>
      <w:bookmarkEnd w:id="8"/>
      <w:r>
        <w:rPr>
          <w:sz w:val="24"/>
          <w:szCs w:val="24"/>
        </w:rPr>
        <w:t>.</w:t>
      </w:r>
    </w:p>
    <w:p w14:paraId="45B1B114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До подписания настоящего </w:t>
      </w:r>
      <w:r>
        <w:rPr>
          <w:sz w:val="24"/>
          <w:szCs w:val="24"/>
        </w:rPr>
        <w:t>д</w:t>
      </w:r>
      <w:r>
        <w:rPr>
          <w:bCs/>
          <w:sz w:val="24"/>
          <w:szCs w:val="24"/>
        </w:rPr>
        <w:t xml:space="preserve">оговора Покупатель произвел осмотр </w:t>
      </w:r>
      <w:r>
        <w:rPr>
          <w:sz w:val="24"/>
          <w:szCs w:val="24"/>
        </w:rPr>
        <w:t>и</w:t>
      </w:r>
      <w:r>
        <w:rPr>
          <w:bCs/>
          <w:sz w:val="24"/>
          <w:szCs w:val="24"/>
        </w:rPr>
        <w:t>мущества, проверил его качество и подтверждает, что имущество пригодно для целей, для которых оно обычно используется</w:t>
      </w:r>
      <w:bookmarkStart w:id="9" w:name="_ref_1-1c1502d64c6a45"/>
      <w:r>
        <w:rPr>
          <w:sz w:val="24"/>
          <w:szCs w:val="24"/>
        </w:rPr>
        <w:t>.</w:t>
      </w:r>
    </w:p>
    <w:p w14:paraId="23240AF4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Обязательство Продавца передать </w:t>
      </w:r>
      <w:r>
        <w:rPr>
          <w:rFonts w:hint="default"/>
          <w:bCs/>
          <w:sz w:val="24"/>
          <w:szCs w:val="24"/>
          <w:lang w:val="ru-RU"/>
        </w:rPr>
        <w:t>движимое имущество</w:t>
      </w:r>
      <w:r>
        <w:rPr>
          <w:bCs/>
          <w:sz w:val="24"/>
          <w:szCs w:val="24"/>
        </w:rPr>
        <w:t xml:space="preserve"> Покупателю считается исполненным после передачи имущества Покупателю и подписания сторонами акта приема-передачи</w:t>
      </w:r>
      <w:bookmarkEnd w:id="9"/>
      <w:bookmarkStart w:id="10" w:name="_ref_1-005245d2b93e45"/>
      <w:r>
        <w:rPr>
          <w:sz w:val="24"/>
          <w:szCs w:val="24"/>
        </w:rPr>
        <w:t>.</w:t>
      </w:r>
    </w:p>
    <w:p w14:paraId="29D2750F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Риск случайной гибели или случайного повреждения </w:t>
      </w:r>
      <w:r>
        <w:rPr>
          <w:rFonts w:hint="default"/>
          <w:bCs/>
          <w:sz w:val="24"/>
          <w:szCs w:val="24"/>
          <w:lang w:val="ru-RU"/>
        </w:rPr>
        <w:t xml:space="preserve">движимого </w:t>
      </w:r>
      <w:r>
        <w:rPr>
          <w:bCs/>
          <w:sz w:val="24"/>
          <w:szCs w:val="24"/>
        </w:rPr>
        <w:t>имущества переходит на Покупателя после передачи имущества Покупателю и подписания сторонами акта приема-передачи.</w:t>
      </w:r>
      <w:bookmarkEnd w:id="10"/>
      <w:bookmarkStart w:id="11" w:name="_ref_1-4f2fc80f307940"/>
    </w:p>
    <w:p w14:paraId="572DF432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Право собственности у Покупателя возникает с момента его регистрации, если иное не установлено законом.</w:t>
      </w:r>
      <w:bookmarkEnd w:id="11"/>
      <w:bookmarkStart w:id="12" w:name="_ref_1-b53480bad0dc4c"/>
    </w:p>
    <w:p w14:paraId="665DEFF3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Расходы по государственной регистрации перехода права собственности несет Покупатель.</w:t>
      </w:r>
      <w:bookmarkEnd w:id="12"/>
    </w:p>
    <w:p w14:paraId="4E756D90">
      <w:pPr>
        <w:pStyle w:val="31"/>
        <w:jc w:val="both"/>
        <w:rPr>
          <w:sz w:val="24"/>
          <w:szCs w:val="24"/>
        </w:rPr>
      </w:pPr>
    </w:p>
    <w:p w14:paraId="5E7E760E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13" w:name="_ref_1-5d0ff0d5ace346"/>
      <w:r>
        <w:rPr>
          <w:bCs/>
          <w:sz w:val="24"/>
          <w:szCs w:val="24"/>
        </w:rPr>
        <w:t>Ответственность сторон</w:t>
      </w:r>
      <w:bookmarkEnd w:id="13"/>
      <w:r>
        <w:rPr>
          <w:sz w:val="24"/>
          <w:szCs w:val="24"/>
        </w:rPr>
        <w:t>.</w:t>
      </w:r>
    </w:p>
    <w:p w14:paraId="16C211CC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bookmarkStart w:id="14" w:name="_ref_1-66f54abdb8684c"/>
      <w:r>
        <w:rPr>
          <w:bCs/>
          <w:sz w:val="24"/>
          <w:szCs w:val="24"/>
        </w:rPr>
        <w:t xml:space="preserve">За невыполнение или ненадлежащее выполнение обязательств по настоящему </w:t>
      </w:r>
      <w:r>
        <w:rPr>
          <w:sz w:val="24"/>
          <w:szCs w:val="24"/>
        </w:rPr>
        <w:t>д</w:t>
      </w:r>
      <w:r>
        <w:rPr>
          <w:bCs/>
          <w:sz w:val="24"/>
          <w:szCs w:val="24"/>
        </w:rPr>
        <w:t xml:space="preserve">оговору виновная сторона несет имущественную ответственность в соответствии с законодательством Российской Федерации и настоящим </w:t>
      </w:r>
      <w:r>
        <w:rPr>
          <w:sz w:val="24"/>
          <w:szCs w:val="24"/>
        </w:rPr>
        <w:t>д</w:t>
      </w:r>
      <w:r>
        <w:rPr>
          <w:bCs/>
          <w:sz w:val="24"/>
          <w:szCs w:val="24"/>
        </w:rPr>
        <w:t>оговором.</w:t>
      </w:r>
      <w:r>
        <w:rPr>
          <w:sz w:val="24"/>
          <w:szCs w:val="24"/>
        </w:rPr>
        <w:t xml:space="preserve"> </w:t>
      </w:r>
    </w:p>
    <w:p w14:paraId="0E9B682D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Покупатель вправе требовать возмещения только реального ущерба, упущенная выгода возмещению не подлежит.</w:t>
      </w:r>
      <w:bookmarkEnd w:id="14"/>
      <w:bookmarkStart w:id="15" w:name="_ref_1-b935d9d59d2241"/>
    </w:p>
    <w:p w14:paraId="27DEB85E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Если иное не предусмотрено законом, сторона, не исполнившая или ненадлежащим образом исполнившая свои обязательства при осуществлении предпринимательской </w:t>
      </w:r>
      <w:r>
        <w:rPr>
          <w:sz w:val="24"/>
          <w:szCs w:val="24"/>
        </w:rPr>
        <w:t>деятельности, несет</w:t>
      </w:r>
      <w:r>
        <w:rPr>
          <w:bCs/>
          <w:sz w:val="24"/>
          <w:szCs w:val="24"/>
        </w:rPr>
        <w:t xml:space="preserve">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bookmarkEnd w:id="15"/>
    </w:p>
    <w:p w14:paraId="32B11779">
      <w:pPr>
        <w:pStyle w:val="31"/>
        <w:jc w:val="both"/>
        <w:rPr>
          <w:sz w:val="24"/>
          <w:szCs w:val="24"/>
        </w:rPr>
      </w:pPr>
    </w:p>
    <w:p w14:paraId="186AF59F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16" w:name="_ref_1-2d82407d936343"/>
      <w:r>
        <w:rPr>
          <w:bCs/>
          <w:sz w:val="24"/>
          <w:szCs w:val="24"/>
        </w:rPr>
        <w:t>Изменение и расторжение договора</w:t>
      </w:r>
      <w:bookmarkEnd w:id="16"/>
      <w:r>
        <w:rPr>
          <w:bCs/>
          <w:sz w:val="24"/>
          <w:szCs w:val="24"/>
        </w:rPr>
        <w:t>.</w:t>
      </w:r>
    </w:p>
    <w:p w14:paraId="4583DD07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bookmarkStart w:id="17" w:name="_ref_1-278b02752ff747"/>
      <w:r>
        <w:rPr>
          <w:bCs/>
          <w:sz w:val="24"/>
          <w:szCs w:val="24"/>
        </w:rPr>
        <w:t>Договор может быть изменен или расторгнут по соглашению сторон.</w:t>
      </w:r>
      <w:bookmarkEnd w:id="17"/>
      <w:bookmarkStart w:id="18" w:name="_ref_1-3705ba1be31044"/>
    </w:p>
    <w:p w14:paraId="08DB7AA0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Существенное изменение обстоятельств, из которых стороны исходили при заключении Договора, не является основанием для его изменения.</w:t>
      </w:r>
      <w:bookmarkEnd w:id="18"/>
      <w:bookmarkStart w:id="19" w:name="_ref_1-9e84b32b09d046"/>
    </w:p>
    <w:p w14:paraId="7D6F04B4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Существенное изменение обстоятельств, из которых стороны исходили при заключении договора, не является основанием для его расторжения.</w:t>
      </w:r>
    </w:p>
    <w:p w14:paraId="5DE8DECD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Покупатель в нарушение договора отказывается принять и оплатить имущество, в сроки, предусмотренные настоящим договором, Продавец вправе по своему выбору потребовать оплаты </w:t>
      </w:r>
      <w:r>
        <w:rPr>
          <w:rFonts w:hint="default"/>
          <w:bCs/>
          <w:sz w:val="24"/>
          <w:szCs w:val="24"/>
          <w:lang w:val="ru-RU"/>
        </w:rPr>
        <w:t>движимого</w:t>
      </w:r>
      <w:r>
        <w:rPr>
          <w:bCs/>
          <w:sz w:val="24"/>
          <w:szCs w:val="24"/>
        </w:rPr>
        <w:t xml:space="preserve"> имущества либо отказаться от исполнения договора</w:t>
      </w:r>
      <w:bookmarkEnd w:id="19"/>
      <w:r>
        <w:rPr>
          <w:bCs/>
          <w:sz w:val="24"/>
          <w:szCs w:val="24"/>
        </w:rPr>
        <w:t>, письменно уведомив Покупателя. Настоящий договор будет считаться расторгнутым с момента направления Продавцом уведомления Покупателю, при этом Покупатель теряет право на получение имущества и утрачивает право на возврат внесенного задатка. В данном случае оформление сторонами дополнительного соглашения о расторжении настоящего договора не требуется.</w:t>
      </w:r>
    </w:p>
    <w:p w14:paraId="155E494C">
      <w:pPr>
        <w:pStyle w:val="31"/>
        <w:jc w:val="both"/>
        <w:rPr>
          <w:sz w:val="24"/>
          <w:szCs w:val="24"/>
        </w:rPr>
      </w:pPr>
    </w:p>
    <w:p w14:paraId="5E6F9F3A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20" w:name="_ref_1-f2ffc36a5af946"/>
      <w:r>
        <w:rPr>
          <w:bCs/>
          <w:sz w:val="24"/>
          <w:szCs w:val="24"/>
        </w:rPr>
        <w:t>Разрешение споров</w:t>
      </w:r>
      <w:bookmarkEnd w:id="20"/>
      <w:r>
        <w:rPr>
          <w:bCs/>
          <w:sz w:val="24"/>
          <w:szCs w:val="24"/>
        </w:rPr>
        <w:t>.</w:t>
      </w:r>
    </w:p>
    <w:p w14:paraId="77C70E8F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bookmarkStart w:id="21" w:name="_ref_1-91e1a48555d24b"/>
      <w:r>
        <w:rPr>
          <w:bCs/>
          <w:sz w:val="24"/>
          <w:szCs w:val="24"/>
        </w:rPr>
        <w:t>До</w:t>
      </w:r>
      <w:bookmarkEnd w:id="21"/>
      <w:bookmarkStart w:id="22" w:name="_ref_1-201a443b6e7740"/>
      <w:r>
        <w:rPr>
          <w:bCs/>
          <w:sz w:val="24"/>
          <w:szCs w:val="24"/>
        </w:rPr>
        <w:t xml:space="preserve">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22"/>
      <w:bookmarkStart w:id="23" w:name="_ref_1-e9f9b359135a4e"/>
      <w:r>
        <w:rPr>
          <w:bCs/>
          <w:sz w:val="24"/>
          <w:szCs w:val="24"/>
        </w:rPr>
        <w:t xml:space="preserve"> </w:t>
      </w:r>
    </w:p>
    <w:p w14:paraId="2E8ED380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23"/>
      <w:bookmarkStart w:id="24" w:name="_ref_1-3e59be5aa62e41"/>
    </w:p>
    <w:p w14:paraId="64078A7E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которая получила претензию, обязана ее рассмотреть и направить письменный мотивированный ответ другой стороне в течение 10 рабочих дней с момента получения претензии.</w:t>
      </w:r>
      <w:bookmarkEnd w:id="24"/>
      <w:bookmarkStart w:id="25" w:name="_ref_1-60a914ad19f445"/>
    </w:p>
    <w:p w14:paraId="08BC446D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Заинтересованная сторона вправе передать спор на рассмотрение суда по истечении 15 рабочих дней со дня направления претензии.</w:t>
      </w:r>
      <w:bookmarkEnd w:id="25"/>
      <w:bookmarkStart w:id="26" w:name="_ref_1-93f1e4392e2247"/>
    </w:p>
    <w:p w14:paraId="3364D4B6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которая получила предложение другой стороны об изменении или о расторжении договора, обязана его рассмотреть и дать письменный ответ в течение 10 рабочих дней с момента получения указанного предложения.</w:t>
      </w:r>
      <w:bookmarkEnd w:id="26"/>
      <w:bookmarkStart w:id="27" w:name="_ref_1-9208eeb0525246"/>
    </w:p>
    <w:p w14:paraId="3D41FD17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вытекающие из договора, рассматриваются арбитражным судом в порядке, предусмотренном законодательством РФ.</w:t>
      </w:r>
      <w:bookmarkEnd w:id="27"/>
      <w:bookmarkStart w:id="28" w:name="_ref_1-386ebf834ceb46"/>
    </w:p>
    <w:p w14:paraId="216E95D5">
      <w:pPr>
        <w:pStyle w:val="31"/>
        <w:jc w:val="both"/>
        <w:rPr>
          <w:bCs/>
          <w:sz w:val="24"/>
          <w:szCs w:val="24"/>
        </w:rPr>
      </w:pPr>
    </w:p>
    <w:p w14:paraId="33465B53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Заключительные положения</w:t>
      </w:r>
      <w:bookmarkEnd w:id="28"/>
      <w:r>
        <w:rPr>
          <w:bCs/>
          <w:sz w:val="24"/>
          <w:szCs w:val="24"/>
        </w:rPr>
        <w:t>.</w:t>
      </w:r>
    </w:p>
    <w:p w14:paraId="7CF83A93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bookmarkStart w:id="29" w:name="_ref_1-6d7b2842f24f41"/>
      <w:r>
        <w:rPr>
          <w:bCs/>
          <w:sz w:val="24"/>
          <w:szCs w:val="24"/>
        </w:rPr>
        <w:t>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наступление таких последствий с момента доставки соответствующего сообщения этому лицу или его представителю.</w:t>
      </w:r>
      <w:bookmarkEnd w:id="29"/>
      <w:r>
        <w:rPr>
          <w:bCs/>
          <w:sz w:val="24"/>
          <w:szCs w:val="24"/>
        </w:rPr>
        <w:t xml:space="preserve"> 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  <w:bookmarkStart w:id="30" w:name="_ref_1-b21a8b07d0e040"/>
    </w:p>
    <w:p w14:paraId="61DD32CD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всем, что не оговорено в настоящем договоре, стороны руководствуются законодательством Российской Федерации.</w:t>
      </w:r>
    </w:p>
    <w:p w14:paraId="39CDB803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 составлен в трех экземплярах: по одному для каждой из сторон и один для регистрирующего органа.</w:t>
      </w:r>
      <w:bookmarkEnd w:id="30"/>
    </w:p>
    <w:p w14:paraId="0BBAD143">
      <w:pPr>
        <w:pStyle w:val="31"/>
        <w:ind w:left="720"/>
        <w:jc w:val="both"/>
        <w:rPr>
          <w:bCs/>
          <w:sz w:val="24"/>
          <w:szCs w:val="24"/>
        </w:rPr>
      </w:pPr>
    </w:p>
    <w:p w14:paraId="784D3012">
      <w:pPr>
        <w:pStyle w:val="34"/>
        <w:numPr>
          <w:ilvl w:val="0"/>
          <w:numId w:val="2"/>
        </w:numPr>
        <w:spacing w:before="0"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Реквизиты и подписи сторон:</w:t>
      </w:r>
    </w:p>
    <w:tbl>
      <w:tblPr>
        <w:tblStyle w:val="19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1"/>
        <w:gridCol w:w="4851"/>
      </w:tblGrid>
      <w:tr w14:paraId="7882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3038CF40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Продавец:</w:t>
            </w:r>
          </w:p>
        </w:tc>
        <w:tc>
          <w:tcPr>
            <w:tcW w:w="5210" w:type="dxa"/>
          </w:tcPr>
          <w:p w14:paraId="2599D5C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</w:tr>
      <w:tr w14:paraId="7599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2EE3F11D">
            <w:pPr>
              <w:pStyle w:val="31"/>
              <w:rPr>
                <w:rFonts w:hint="default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Таров Алексе</w:t>
            </w:r>
            <w:r>
              <w:rPr>
                <w:rFonts w:hint="default" w:eastAsia="SimSun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Юрьевич (31.03.1985 г.р., СНИЛС 138-912-928 94, ИНН 583608939348, адрес: 440008, Пензенская обл., г. Пенза, ул. Ключевая, д. 26) </w:t>
            </w:r>
          </w:p>
        </w:tc>
        <w:tc>
          <w:tcPr>
            <w:tcW w:w="5210" w:type="dxa"/>
          </w:tcPr>
          <w:p w14:paraId="156578A5">
            <w:pPr>
              <w:pStyle w:val="31"/>
              <w:rPr>
                <w:bCs/>
                <w:sz w:val="24"/>
                <w:szCs w:val="24"/>
              </w:rPr>
            </w:pPr>
          </w:p>
        </w:tc>
      </w:tr>
      <w:tr w14:paraId="7826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415BAF6C">
            <w:pPr>
              <w:pStyle w:val="31"/>
              <w:rPr>
                <w:bCs/>
                <w:sz w:val="24"/>
                <w:szCs w:val="24"/>
              </w:rPr>
            </w:pPr>
          </w:p>
          <w:p w14:paraId="77BD4D0B">
            <w:pPr>
              <w:pStyle w:val="3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</w:t>
            </w:r>
          </w:p>
          <w:p w14:paraId="4B584044">
            <w:pPr>
              <w:pStyle w:val="31"/>
            </w:pPr>
            <w:r>
              <w:rPr>
                <w:bCs/>
                <w:sz w:val="24"/>
                <w:szCs w:val="24"/>
              </w:rPr>
              <w:t xml:space="preserve">м.п.                                             </w:t>
            </w:r>
            <w:r>
              <w:t xml:space="preserve"> </w:t>
            </w:r>
          </w:p>
          <w:p w14:paraId="589BCA91">
            <w:pPr>
              <w:pStyle w:val="31"/>
              <w:rPr>
                <w:bCs/>
                <w:sz w:val="24"/>
                <w:szCs w:val="24"/>
              </w:rPr>
            </w:pPr>
            <w:r>
              <w:rPr>
                <w:lang w:val="ru-RU"/>
              </w:rPr>
              <w:t>Финансовый</w:t>
            </w:r>
            <w:r>
              <w:rPr>
                <w:rFonts w:hint="default"/>
                <w:lang w:val="ru-RU"/>
              </w:rPr>
              <w:t xml:space="preserve"> управляющий Г.И. Кадерова</w:t>
            </w:r>
          </w:p>
        </w:tc>
        <w:tc>
          <w:tcPr>
            <w:tcW w:w="5210" w:type="dxa"/>
          </w:tcPr>
          <w:p w14:paraId="039E4338">
            <w:pPr>
              <w:pStyle w:val="31"/>
              <w:rPr>
                <w:bCs/>
                <w:sz w:val="24"/>
                <w:szCs w:val="24"/>
              </w:rPr>
            </w:pPr>
          </w:p>
          <w:p w14:paraId="4B0C3B20">
            <w:pPr>
              <w:pStyle w:val="3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</w:t>
            </w:r>
          </w:p>
          <w:p w14:paraId="2337B1EB">
            <w:pPr>
              <w:pStyle w:val="31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>м.п.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                                         </w:t>
            </w:r>
          </w:p>
          <w:p w14:paraId="77EA2C77">
            <w:pPr>
              <w:pStyle w:val="31"/>
              <w:rPr>
                <w:bCs/>
                <w:sz w:val="24"/>
                <w:szCs w:val="24"/>
              </w:rPr>
            </w:pPr>
          </w:p>
        </w:tc>
      </w:tr>
    </w:tbl>
    <w:p w14:paraId="415E9967">
      <w:pPr>
        <w:pStyle w:val="31"/>
        <w:ind w:left="720"/>
        <w:jc w:val="both"/>
        <w:rPr>
          <w:bCs/>
          <w:sz w:val="24"/>
          <w:szCs w:val="24"/>
        </w:rPr>
      </w:pPr>
    </w:p>
    <w:p w14:paraId="66208F49">
      <w:pPr>
        <w:pStyle w:val="31"/>
        <w:jc w:val="both"/>
        <w:rPr>
          <w:bCs/>
          <w:sz w:val="24"/>
          <w:szCs w:val="24"/>
        </w:rPr>
      </w:pPr>
    </w:p>
    <w:p w14:paraId="463A5E2E">
      <w:pPr>
        <w:pStyle w:val="31"/>
        <w:jc w:val="both"/>
        <w:rPr>
          <w:bCs/>
          <w:sz w:val="24"/>
          <w:szCs w:val="24"/>
        </w:rPr>
      </w:pPr>
    </w:p>
    <w:p w14:paraId="25469858">
      <w:pPr>
        <w:pStyle w:val="31"/>
        <w:jc w:val="both"/>
        <w:rPr>
          <w:bCs/>
          <w:sz w:val="24"/>
          <w:szCs w:val="24"/>
        </w:rPr>
      </w:pPr>
    </w:p>
    <w:sectPr>
      <w:headerReference r:id="rId5" w:type="first"/>
      <w:footerReference r:id="rId7" w:type="first"/>
      <w:footerReference r:id="rId6" w:type="default"/>
      <w:footnotePr>
        <w:numRestart w:val="eachSect"/>
      </w:footnotePr>
      <w:pgSz w:w="11907" w:h="16839"/>
      <w:pgMar w:top="567" w:right="567" w:bottom="567" w:left="1134" w:header="720" w:footer="720" w:gutter="0"/>
      <w:pgNumType w:start="1"/>
      <w:cols w:space="0" w:num="1"/>
      <w:titlePg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E40EF">
    <w:pPr>
      <w:pStyle w:val="17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02CFD">
    <w:pPr>
      <w:pStyle w:val="17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t>1</w:t>
    </w:r>
    <w: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DA2F4">
    <w:pPr>
      <w:pStyle w:val="1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56A6"/>
    <w:multiLevelType w:val="multilevel"/>
    <w:tmpl w:val="399256A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F3F770A"/>
    <w:multiLevelType w:val="multilevel"/>
    <w:tmpl w:val="4F3F770A"/>
    <w:lvl w:ilvl="0" w:tentative="0">
      <w:start w:val="1"/>
      <w:numFmt w:val="decimal"/>
      <w:pStyle w:val="2"/>
      <w:suff w:val="space"/>
      <w:lvlText w:val="%1."/>
      <w:lvlJc w:val="left"/>
      <w:rPr>
        <w:rFonts w:hint="default"/>
      </w:rPr>
    </w:lvl>
    <w:lvl w:ilvl="1" w:tentative="0">
      <w:start w:val="1"/>
      <w:numFmt w:val="decimal"/>
      <w:pStyle w:val="3"/>
      <w:suff w:val="space"/>
      <w:lvlText w:val="%1.%2."/>
      <w:lvlJc w:val="left"/>
      <w:rPr>
        <w:rFonts w:hint="default"/>
      </w:rPr>
    </w:lvl>
    <w:lvl w:ilvl="2" w:tentative="0">
      <w:start w:val="1"/>
      <w:numFmt w:val="decimal"/>
      <w:pStyle w:val="4"/>
      <w:suff w:val="space"/>
      <w:lvlText w:val="%1.%2.%3."/>
      <w:lvlJc w:val="left"/>
      <w:rPr>
        <w:rFonts w:hint="default"/>
      </w:rPr>
    </w:lvl>
    <w:lvl w:ilvl="3" w:tentative="0">
      <w:start w:val="1"/>
      <w:numFmt w:val="decimal"/>
      <w:pStyle w:val="5"/>
      <w:suff w:val="space"/>
      <w:lvlText w:val="%1.%2.%3.%4."/>
      <w:lvlJc w:val="left"/>
      <w:rPr>
        <w:rFonts w:hint="default"/>
      </w:rPr>
    </w:lvl>
    <w:lvl w:ilvl="4" w:tentative="0">
      <w:start w:val="1"/>
      <w:numFmt w:val="decimal"/>
      <w:pStyle w:val="6"/>
      <w:suff w:val="space"/>
      <w:lvlText w:val="%1.%2.%3.%4.%5."/>
      <w:lvlJc w:val="left"/>
      <w:rPr>
        <w:rFonts w:hint="default"/>
      </w:rPr>
    </w:lvl>
    <w:lvl w:ilvl="5" w:tentative="0">
      <w:start w:val="1"/>
      <w:numFmt w:val="decimal"/>
      <w:pStyle w:val="7"/>
      <w:suff w:val="space"/>
      <w:lvlText w:val="%1.%2.%3.%4.%5.%6."/>
      <w:lvlJc w:val="left"/>
      <w:rPr>
        <w:rFonts w:hint="default"/>
      </w:rPr>
    </w:lvl>
    <w:lvl w:ilvl="6" w:tentative="0">
      <w:start w:val="1"/>
      <w:numFmt w:val="decimal"/>
      <w:pStyle w:val="8"/>
      <w:suff w:val="space"/>
      <w:lvlText w:val="%1.%2.%3.%4.%5.%6.%7."/>
      <w:lvlJc w:val="left"/>
      <w:rPr>
        <w:rFonts w:hint="default"/>
      </w:rPr>
    </w:lvl>
    <w:lvl w:ilvl="7" w:tentative="0">
      <w:start w:val="1"/>
      <w:numFmt w:val="decimal"/>
      <w:pStyle w:val="9"/>
      <w:suff w:val="space"/>
      <w:lvlText w:val="%1.%2.%3.%4.%5.%6.%7.%8."/>
      <w:lvlJc w:val="left"/>
      <w:rPr>
        <w:rFonts w:hint="default"/>
      </w:rPr>
    </w:lvl>
    <w:lvl w:ilvl="8" w:tentative="0">
      <w:start w:val="1"/>
      <w:numFmt w:val="decimal"/>
      <w:pStyle w:val="10"/>
      <w:suff w:val="space"/>
      <w:lvlText w:val="%1.%2.%3.%4.%5.%6.%7.%8.%9.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mirrorMargin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8D"/>
    <w:rsid w:val="00012116"/>
    <w:rsid w:val="000F3B62"/>
    <w:rsid w:val="00124114"/>
    <w:rsid w:val="00183A3F"/>
    <w:rsid w:val="001B2080"/>
    <w:rsid w:val="001D50F0"/>
    <w:rsid w:val="00317F6E"/>
    <w:rsid w:val="0033058D"/>
    <w:rsid w:val="003806B3"/>
    <w:rsid w:val="0038091B"/>
    <w:rsid w:val="00405E58"/>
    <w:rsid w:val="00417051"/>
    <w:rsid w:val="00542343"/>
    <w:rsid w:val="00596924"/>
    <w:rsid w:val="006716AA"/>
    <w:rsid w:val="0068658C"/>
    <w:rsid w:val="00754B9A"/>
    <w:rsid w:val="00801E90"/>
    <w:rsid w:val="00843F59"/>
    <w:rsid w:val="00936C72"/>
    <w:rsid w:val="00957340"/>
    <w:rsid w:val="009F1C28"/>
    <w:rsid w:val="00A00645"/>
    <w:rsid w:val="00A641A4"/>
    <w:rsid w:val="00AF0BD0"/>
    <w:rsid w:val="00BE5C99"/>
    <w:rsid w:val="00C474FC"/>
    <w:rsid w:val="00C84186"/>
    <w:rsid w:val="00CF1CA3"/>
    <w:rsid w:val="00DB3255"/>
    <w:rsid w:val="00E502E5"/>
    <w:rsid w:val="00E7189C"/>
    <w:rsid w:val="00F31201"/>
    <w:rsid w:val="00F85FD3"/>
    <w:rsid w:val="00F93764"/>
    <w:rsid w:val="00FC362B"/>
    <w:rsid w:val="00FE0071"/>
    <w:rsid w:val="00FF46A1"/>
    <w:rsid w:val="13CB4CCF"/>
    <w:rsid w:val="19466A0C"/>
    <w:rsid w:val="2D4B3A6B"/>
    <w:rsid w:val="2E6F73C7"/>
    <w:rsid w:val="33532C30"/>
    <w:rsid w:val="5C392C65"/>
    <w:rsid w:val="69F47554"/>
    <w:rsid w:val="6C223043"/>
    <w:rsid w:val="6EDF607B"/>
    <w:rsid w:val="7294551C"/>
    <w:rsid w:val="7C0B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20" w:after="120" w:line="276" w:lineRule="auto"/>
      <w:ind w:firstLine="482"/>
      <w:jc w:val="both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3">
    <w:name w:val="heading 2"/>
    <w:basedOn w:val="1"/>
    <w:next w:val="1"/>
    <w:link w:val="21"/>
    <w:qFormat/>
    <w:uiPriority w:val="9"/>
    <w:pPr>
      <w:numPr>
        <w:ilvl w:val="1"/>
        <w:numId w:val="1"/>
      </w:numPr>
      <w:outlineLvl w:val="1"/>
    </w:pPr>
    <w:rPr>
      <w:bCs/>
      <w:szCs w:val="26"/>
    </w:rPr>
  </w:style>
  <w:style w:type="paragraph" w:styleId="4">
    <w:name w:val="heading 3"/>
    <w:basedOn w:val="1"/>
    <w:next w:val="1"/>
    <w:link w:val="22"/>
    <w:qFormat/>
    <w:uiPriority w:val="9"/>
    <w:pPr>
      <w:numPr>
        <w:ilvl w:val="2"/>
        <w:numId w:val="1"/>
      </w:numPr>
      <w:outlineLvl w:val="2"/>
    </w:pPr>
    <w:rPr>
      <w:bCs/>
    </w:rPr>
  </w:style>
  <w:style w:type="paragraph" w:styleId="5">
    <w:name w:val="heading 4"/>
    <w:basedOn w:val="1"/>
    <w:next w:val="1"/>
    <w:link w:val="23"/>
    <w:qFormat/>
    <w:uiPriority w:val="9"/>
    <w:pPr>
      <w:numPr>
        <w:ilvl w:val="3"/>
        <w:numId w:val="1"/>
      </w:numPr>
      <w:outlineLvl w:val="3"/>
    </w:pPr>
    <w:rPr>
      <w:bCs/>
      <w:iCs/>
    </w:rPr>
  </w:style>
  <w:style w:type="paragraph" w:styleId="6">
    <w:name w:val="heading 5"/>
    <w:basedOn w:val="1"/>
    <w:next w:val="1"/>
    <w:link w:val="24"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7">
    <w:name w:val="heading 6"/>
    <w:basedOn w:val="1"/>
    <w:next w:val="1"/>
    <w:link w:val="25"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8">
    <w:name w:val="heading 7"/>
    <w:basedOn w:val="1"/>
    <w:next w:val="1"/>
    <w:link w:val="26"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9">
    <w:name w:val="heading 8"/>
    <w:basedOn w:val="1"/>
    <w:next w:val="1"/>
    <w:link w:val="27"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10">
    <w:name w:val="heading 9"/>
    <w:basedOn w:val="1"/>
    <w:next w:val="1"/>
    <w:link w:val="28"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header"/>
    <w:basedOn w:val="1"/>
    <w:link w:val="32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paragraph" w:styleId="16">
    <w:name w:val="Title"/>
    <w:basedOn w:val="1"/>
    <w:next w:val="1"/>
    <w:link w:val="30"/>
    <w:qFormat/>
    <w:uiPriority w:val="10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paragraph" w:styleId="17">
    <w:name w:val="footer"/>
    <w:basedOn w:val="1"/>
    <w:link w:val="33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19">
    <w:name w:val="Table Grid"/>
    <w:basedOn w:val="12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1 Знак"/>
    <w:basedOn w:val="11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8"/>
      <w:lang w:eastAsia="ru-RU"/>
    </w:rPr>
  </w:style>
  <w:style w:type="character" w:customStyle="1" w:styleId="21">
    <w:name w:val="Заголовок 2 Знак"/>
    <w:basedOn w:val="11"/>
    <w:link w:val="3"/>
    <w:qFormat/>
    <w:uiPriority w:val="9"/>
    <w:rPr>
      <w:rFonts w:ascii="Times New Roman" w:hAnsi="Times New Roman" w:eastAsia="Times New Roman" w:cs="Times New Roman"/>
      <w:bCs/>
      <w:szCs w:val="26"/>
      <w:lang w:eastAsia="ru-RU"/>
    </w:rPr>
  </w:style>
  <w:style w:type="character" w:customStyle="1" w:styleId="22">
    <w:name w:val="Заголовок 3 Знак"/>
    <w:basedOn w:val="11"/>
    <w:link w:val="4"/>
    <w:qFormat/>
    <w:uiPriority w:val="9"/>
    <w:rPr>
      <w:rFonts w:ascii="Times New Roman" w:hAnsi="Times New Roman" w:eastAsia="Times New Roman" w:cs="Times New Roman"/>
      <w:bCs/>
      <w:lang w:eastAsia="ru-RU"/>
    </w:rPr>
  </w:style>
  <w:style w:type="character" w:customStyle="1" w:styleId="23">
    <w:name w:val="Заголовок 4 Знак"/>
    <w:basedOn w:val="11"/>
    <w:link w:val="5"/>
    <w:qFormat/>
    <w:uiPriority w:val="9"/>
    <w:rPr>
      <w:rFonts w:ascii="Times New Roman" w:hAnsi="Times New Roman" w:eastAsia="Times New Roman" w:cs="Times New Roman"/>
      <w:bCs/>
      <w:iCs/>
      <w:lang w:eastAsia="ru-RU"/>
    </w:rPr>
  </w:style>
  <w:style w:type="character" w:customStyle="1" w:styleId="24">
    <w:name w:val="Заголовок 5 Знак"/>
    <w:basedOn w:val="11"/>
    <w:link w:val="6"/>
    <w:qFormat/>
    <w:uiPriority w:val="9"/>
    <w:rPr>
      <w:rFonts w:ascii="Times New Roman" w:hAnsi="Times New Roman" w:eastAsia="Times New Roman" w:cs="Times New Roman"/>
      <w:lang w:eastAsia="ru-RU"/>
    </w:rPr>
  </w:style>
  <w:style w:type="character" w:customStyle="1" w:styleId="25">
    <w:name w:val="Заголовок 6 Знак"/>
    <w:basedOn w:val="11"/>
    <w:link w:val="7"/>
    <w:qFormat/>
    <w:uiPriority w:val="9"/>
    <w:rPr>
      <w:rFonts w:ascii="Times New Roman" w:hAnsi="Times New Roman" w:eastAsia="Times New Roman" w:cs="Times New Roman"/>
      <w:i/>
      <w:iCs/>
      <w:color w:val="243F60"/>
      <w:lang w:eastAsia="ru-RU"/>
    </w:rPr>
  </w:style>
  <w:style w:type="character" w:customStyle="1" w:styleId="26">
    <w:name w:val="Заголовок 7 Знак"/>
    <w:basedOn w:val="11"/>
    <w:link w:val="8"/>
    <w:qFormat/>
    <w:uiPriority w:val="9"/>
    <w:rPr>
      <w:rFonts w:ascii="Times New Roman" w:hAnsi="Times New Roman" w:eastAsia="Times New Roman" w:cs="Times New Roman"/>
      <w:i/>
      <w:iCs/>
      <w:color w:val="404040"/>
      <w:lang w:eastAsia="ru-RU"/>
    </w:rPr>
  </w:style>
  <w:style w:type="character" w:customStyle="1" w:styleId="27">
    <w:name w:val="Заголовок 8 Знак"/>
    <w:basedOn w:val="11"/>
    <w:link w:val="9"/>
    <w:qFormat/>
    <w:uiPriority w:val="9"/>
    <w:rPr>
      <w:rFonts w:ascii="Times New Roman" w:hAnsi="Times New Roman" w:eastAsia="Times New Roman" w:cs="Times New Roman"/>
      <w:color w:val="4F81BD"/>
      <w:szCs w:val="20"/>
      <w:lang w:eastAsia="ru-RU"/>
    </w:rPr>
  </w:style>
  <w:style w:type="character" w:customStyle="1" w:styleId="28">
    <w:name w:val="Заголовок 9 Знак"/>
    <w:basedOn w:val="11"/>
    <w:link w:val="10"/>
    <w:qFormat/>
    <w:uiPriority w:val="9"/>
    <w:rPr>
      <w:rFonts w:ascii="Times New Roman" w:hAnsi="Times New Roman" w:eastAsia="Times New Roman" w:cs="Times New Roman"/>
      <w:i/>
      <w:iCs/>
      <w:color w:val="404040"/>
      <w:szCs w:val="20"/>
      <w:lang w:eastAsia="ru-RU"/>
    </w:rPr>
  </w:style>
  <w:style w:type="paragraph" w:customStyle="1" w:styleId="29">
    <w:name w:val="Normal unindented"/>
    <w:qFormat/>
    <w:uiPriority w:val="0"/>
    <w:pPr>
      <w:spacing w:before="120" w:after="120" w:line="276" w:lineRule="auto"/>
      <w:jc w:val="both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30">
    <w:name w:val="Название Знак"/>
    <w:basedOn w:val="11"/>
    <w:link w:val="16"/>
    <w:qFormat/>
    <w:uiPriority w:val="10"/>
    <w:rPr>
      <w:rFonts w:ascii="Times New Roman" w:hAnsi="Times New Roman" w:eastAsia="Times New Roman" w:cs="Times New Roman"/>
      <w:b/>
      <w:spacing w:val="5"/>
      <w:kern w:val="28"/>
      <w:sz w:val="28"/>
      <w:szCs w:val="52"/>
      <w:lang w:eastAsia="ru-RU"/>
    </w:rPr>
  </w:style>
  <w:style w:type="paragraph" w:styleId="31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32">
    <w:name w:val="Верхний колонтитул Знак"/>
    <w:basedOn w:val="11"/>
    <w:link w:val="15"/>
    <w:qFormat/>
    <w:uiPriority w:val="99"/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customStyle="1" w:styleId="33">
    <w:name w:val="Нижний колонтитул Знак"/>
    <w:basedOn w:val="11"/>
    <w:link w:val="17"/>
    <w:qFormat/>
    <w:uiPriority w:val="99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1058</Words>
  <Characters>6034</Characters>
  <Lines>50</Lines>
  <Paragraphs>14</Paragraphs>
  <TotalTime>1</TotalTime>
  <ScaleCrop>false</ScaleCrop>
  <LinksUpToDate>false</LinksUpToDate>
  <CharactersWithSpaces>7078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2021-12-08T02:38:00Z</dcterms:created>
  <dc:creator>Work</dc:creator>
  <cp:lastModifiedBy>Татьяна Фомина</cp:lastModifiedBy>
  <cp:lastPrinted>2025-04-01T06:22:00Z</cp:lastPrinted>
  <dcterms:modified xsi:type="dcterms:W3CDTF">2026-04-09T12:36:32Z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908B41A5161840479F332FFAC6AE92AF_13</vt:lpwstr>
  </property>
</Properties>
</file>