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705493E1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CA57B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446DAF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2989BD87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r w:rsidR="00173199" w:rsidRPr="00173199">
        <w:rPr>
          <w:rFonts w:ascii="Times New Roman" w:hAnsi="Times New Roman" w:cs="Times New Roman"/>
          <w:sz w:val="24"/>
          <w:szCs w:val="24"/>
        </w:rPr>
        <w:t>Легкого Артема Игоревича (05.03.1986 г.р., место рождения: Запорожье Украинская ССР, СНИЛС 189-386-156 35, ИНН 482562364604, зарегистрирован по адресу: Московская обл., г. Сергиев Посад, с. Муханово, ул. Советская, д. 17, кв. 10)</w:t>
      </w:r>
      <w:r w:rsidR="00173199" w:rsidRPr="00B237C8">
        <w:t xml:space="preserve"> </w:t>
      </w:r>
      <w:r w:rsidR="00173199">
        <w:t xml:space="preserve"> </w:t>
      </w:r>
      <w:r w:rsidR="00446DAF" w:rsidRPr="00E2523B">
        <w:rPr>
          <w:rFonts w:ascii="Times New Roman" w:hAnsi="Times New Roman" w:cs="Times New Roman"/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173199" w:rsidRPr="00173199">
        <w:rPr>
          <w:rFonts w:ascii="Times New Roman" w:hAnsi="Times New Roman" w:cs="Times New Roman"/>
          <w:sz w:val="24"/>
          <w:szCs w:val="24"/>
        </w:rPr>
        <w:t>Решения Арбитражного суда Московской области от 09 июля 2025 г. по делу № А41-14677/2025</w:t>
      </w:r>
      <w:r w:rsidR="00475FF2" w:rsidRPr="00CF1022">
        <w:rPr>
          <w:rFonts w:ascii="Times New Roman" w:hAnsi="Times New Roman" w:cs="Times New Roman"/>
          <w:sz w:val="24"/>
          <w:szCs w:val="24"/>
        </w:rPr>
        <w:t>,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D2FAF9" w14:textId="743DF187" w:rsidR="00CC7CA6" w:rsidRPr="00446DAF" w:rsidRDefault="00782C12" w:rsidP="00446DAF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r w:rsidR="00173199">
        <w:rPr>
          <w:rFonts w:ascii="Times New Roman" w:hAnsi="Times New Roman" w:cs="Times New Roman"/>
          <w:sz w:val="24"/>
        </w:rPr>
        <w:t>Легкого Артема Игоревича</w:t>
      </w:r>
      <w:r w:rsidR="00446DAF" w:rsidRPr="00E32087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r w:rsidR="00173199">
        <w:rPr>
          <w:rFonts w:ascii="Times New Roman" w:hAnsi="Times New Roman" w:cs="Times New Roman"/>
          <w:sz w:val="24"/>
        </w:rPr>
        <w:t>Легкого Артема Игоревича</w:t>
      </w:r>
      <w:r w:rsidR="00173199" w:rsidRPr="00E32087">
        <w:rPr>
          <w:rFonts w:ascii="Times New Roman" w:hAnsi="Times New Roman" w:cs="Times New Roman"/>
          <w:sz w:val="24"/>
        </w:rPr>
        <w:t xml:space="preserve">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r w:rsidR="00173199">
        <w:rPr>
          <w:rFonts w:ascii="Times New Roman" w:hAnsi="Times New Roman" w:cs="Times New Roman"/>
          <w:sz w:val="24"/>
        </w:rPr>
        <w:t>Легкого Артема Игоревича</w:t>
      </w:r>
      <w:r w:rsidR="00173199" w:rsidRPr="00E32087">
        <w:rPr>
          <w:rFonts w:ascii="Times New Roman" w:hAnsi="Times New Roman" w:cs="Times New Roman"/>
          <w:sz w:val="24"/>
        </w:rPr>
        <w:t xml:space="preserve"> 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173199" w:rsidRPr="00173199">
        <w:rPr>
          <w:rFonts w:ascii="Times New Roman" w:hAnsi="Times New Roman" w:cs="Times New Roman"/>
          <w:sz w:val="24"/>
        </w:rPr>
        <w:t>квартира, площадью 50,1 кв.м., расположенная по адресу: Московская область, р-н. Сергиево-Посадский, с. Муханово, ул. Советская, д.17, кв.10. Кадастровый номер: 50:05:0100218:1376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446DAF">
        <w:rPr>
          <w:rFonts w:ascii="Times New Roman" w:hAnsi="Times New Roman" w:cs="Times New Roman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446DAF">
        <w:rPr>
          <w:rFonts w:ascii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0D588C3F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19087317" w14:textId="05ABBBD9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r w:rsidR="00173199">
              <w:rPr>
                <w:rFonts w:ascii="Times New Roman" w:hAnsi="Times New Roman" w:cs="Times New Roman"/>
                <w:sz w:val="24"/>
              </w:rPr>
              <w:t>Легкого Артема Игоревича</w:t>
            </w:r>
            <w:r w:rsidR="00173199" w:rsidRPr="00E320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08CF0502" w14:textId="005B86BA" w:rsidR="003952E5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ФИЛИАЛ "ЦЕНТРАЛЬНЫЙ" ПАО "СОВКОМБАНК" адрес: 633011, РОССИЙСКАЯ ФЕДЕРАЦИЯ, НОВОСИБИРСКАЯ ОБЛ, БЕРДСК Г, ПОПОВА УЛ, 11, БИК 045004763, ИНН 4401116480, ОГРН 1144400000425, КПП 544543001</w:t>
            </w:r>
          </w:p>
          <w:p w14:paraId="674A6863" w14:textId="77777777" w:rsidR="00097A1E" w:rsidRPr="00097A1E" w:rsidRDefault="00097A1E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</w:p>
          <w:p w14:paraId="08FFDE3E" w14:textId="77777777" w:rsidR="003952E5" w:rsidRPr="00097A1E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sz w:val="24"/>
                <w:lang w:bidi="ar-SA"/>
              </w:rPr>
              <w:t>Корр/счет 30101810150040000763</w:t>
            </w:r>
          </w:p>
          <w:p w14:paraId="0F5A5595" w14:textId="77777777" w:rsidR="00173199" w:rsidRPr="00173199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 w:rsidRPr="00097A1E"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  <w:t xml:space="preserve">Счет получателя: </w:t>
            </w:r>
            <w:r w:rsidR="00173199" w:rsidRPr="00173199">
              <w:rPr>
                <w:rFonts w:ascii="Times New Roman" w:eastAsia="Times New Roman" w:hAnsi="Times New Roman" w:cs="Times New Roman"/>
                <w:sz w:val="24"/>
                <w:lang w:bidi="ar-SA"/>
              </w:rPr>
              <w:t>40817810550223839963</w:t>
            </w:r>
          </w:p>
          <w:p w14:paraId="05093B08" w14:textId="77777777" w:rsidR="00173199" w:rsidRPr="00173199" w:rsidRDefault="003952E5" w:rsidP="00173199">
            <w:pPr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</w:pPr>
            <w:r w:rsidRPr="003952E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r w:rsidR="00173199" w:rsidRPr="00173199">
              <w:rPr>
                <w:rFonts w:ascii="Times New Roman" w:eastAsia="Times New Roman" w:hAnsi="Times New Roman" w:cs="Times New Roman"/>
                <w:kern w:val="1"/>
                <w:sz w:val="24"/>
                <w:lang w:bidi="ar-SA"/>
              </w:rPr>
              <w:t>Легкий Артем Игоревич</w:t>
            </w:r>
          </w:p>
          <w:p w14:paraId="51CB2BAD" w14:textId="4E2A51DC" w:rsidR="003952E5" w:rsidRPr="003952E5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</w:p>
          <w:p w14:paraId="75A156D8" w14:textId="7A5774E5" w:rsidR="001A0B63" w:rsidRPr="001A0B63" w:rsidRDefault="003952E5" w:rsidP="003952E5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A7FE" w14:textId="77777777" w:rsidR="00B35FCB" w:rsidRDefault="00B35FCB">
      <w:r>
        <w:separator/>
      </w:r>
    </w:p>
  </w:endnote>
  <w:endnote w:type="continuationSeparator" w:id="0">
    <w:p w14:paraId="7F8A8736" w14:textId="77777777" w:rsidR="00B35FCB" w:rsidRDefault="00B3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F626" w14:textId="77777777" w:rsidR="00B35FCB" w:rsidRDefault="00B35FCB">
      <w:r>
        <w:separator/>
      </w:r>
    </w:p>
  </w:footnote>
  <w:footnote w:type="continuationSeparator" w:id="0">
    <w:p w14:paraId="0480B978" w14:textId="77777777" w:rsidR="00B35FCB" w:rsidRDefault="00B3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09455">
    <w:abstractNumId w:val="0"/>
  </w:num>
  <w:num w:numId="2" w16cid:durableId="1268974169">
    <w:abstractNumId w:val="1"/>
  </w:num>
  <w:num w:numId="3" w16cid:durableId="534739185">
    <w:abstractNumId w:val="2"/>
  </w:num>
  <w:num w:numId="4" w16cid:durableId="617028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97A1E"/>
    <w:rsid w:val="000B33F3"/>
    <w:rsid w:val="000C3641"/>
    <w:rsid w:val="000F1CF2"/>
    <w:rsid w:val="00116548"/>
    <w:rsid w:val="00173199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46DAF"/>
    <w:rsid w:val="00475FF2"/>
    <w:rsid w:val="00484F6E"/>
    <w:rsid w:val="00492BD6"/>
    <w:rsid w:val="004A621B"/>
    <w:rsid w:val="00522872"/>
    <w:rsid w:val="00611C4F"/>
    <w:rsid w:val="00631BCD"/>
    <w:rsid w:val="00655677"/>
    <w:rsid w:val="0068250F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217A0"/>
    <w:rsid w:val="00B35FCB"/>
    <w:rsid w:val="00B41764"/>
    <w:rsid w:val="00B62A86"/>
    <w:rsid w:val="00C336BA"/>
    <w:rsid w:val="00C8205E"/>
    <w:rsid w:val="00CA57B7"/>
    <w:rsid w:val="00CB50B1"/>
    <w:rsid w:val="00CC7CA6"/>
    <w:rsid w:val="00CE64AC"/>
    <w:rsid w:val="00D24C28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Admin</cp:lastModifiedBy>
  <cp:revision>4</cp:revision>
  <cp:lastPrinted>2019-10-03T13:17:00Z</cp:lastPrinted>
  <dcterms:created xsi:type="dcterms:W3CDTF">2026-04-09T07:26:00Z</dcterms:created>
  <dcterms:modified xsi:type="dcterms:W3CDTF">2026-04-16T07:28:00Z</dcterms:modified>
</cp:coreProperties>
</file>