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rPr>
          <w:bCs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ПРОЕКТ ДОГОВОРА КУПЛИ-ПРОДАЖИ</w:t>
      </w:r>
      <w:r>
        <w:rPr>
          <w:b/>
          <w:color w:val="000000" w:themeColor="text1"/>
          <w:sz w:val="24"/>
          <w:szCs w:val="24"/>
        </w:rPr>
        <w:t xml:space="preserve"> АВТОМОБИЛЯ</w:t>
      </w:r>
      <w:r>
        <w:rPr>
          <w:bCs/>
          <w:color w:val="000000" w:themeColor="text1"/>
          <w:sz w:val="24"/>
          <w:szCs w:val="24"/>
        </w:rPr>
      </w:r>
    </w:p>
    <w:p>
      <w:pPr>
        <w:ind w:firstLine="720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г. Оренбург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«</w:t>
      </w:r>
      <w:r>
        <w:rPr>
          <w:color w:val="000000" w:themeColor="text1"/>
          <w:sz w:val="24"/>
          <w:szCs w:val="24"/>
        </w:rPr>
        <w:t xml:space="preserve">____</w:t>
      </w:r>
      <w:r>
        <w:rPr>
          <w:color w:val="000000" w:themeColor="text1"/>
          <w:sz w:val="24"/>
          <w:szCs w:val="24"/>
        </w:rPr>
        <w:t xml:space="preserve">» </w:t>
      </w:r>
      <w:r>
        <w:rPr>
          <w:color w:val="000000" w:themeColor="text1"/>
          <w:sz w:val="24"/>
          <w:szCs w:val="24"/>
        </w:rPr>
        <w:t xml:space="preserve">___________ </w:t>
      </w:r>
      <w:r>
        <w:rPr>
          <w:color w:val="000000" w:themeColor="text1"/>
          <w:sz w:val="24"/>
          <w:szCs w:val="24"/>
        </w:rPr>
        <w:t xml:space="preserve">20</w:t>
      </w:r>
      <w:r>
        <w:rPr>
          <w:color w:val="000000" w:themeColor="text1"/>
          <w:sz w:val="24"/>
          <w:szCs w:val="24"/>
        </w:rPr>
        <w:t xml:space="preserve">___</w:t>
      </w:r>
      <w:r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</w:p>
    <w:p>
      <w:pPr>
        <w:tabs>
          <w:tab w:val="center" w:pos="5330" w:leader="none"/>
          <w:tab w:val="right" w:pos="992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567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Финансовый управляющий </w:t>
      </w:r>
      <w:r>
        <w:rPr>
          <w:b/>
          <w:bCs/>
          <w:color w:val="000000" w:themeColor="text1"/>
          <w:sz w:val="22"/>
          <w:szCs w:val="22"/>
        </w:rPr>
        <w:t xml:space="preserve">Трегубова Ивана Сергеевича</w:t>
      </w:r>
      <w:r>
        <w:rPr>
          <w:color w:val="000000" w:themeColor="text1"/>
          <w:sz w:val="22"/>
          <w:szCs w:val="22"/>
        </w:rPr>
        <w:t xml:space="preserve"> Дараган Ольга Валерьевна, действующий на основании Решения Арбитражного суда Оренбургской области </w:t>
      </w:r>
      <w:r>
        <w:rPr>
          <w:rStyle w:val="784"/>
          <w:i w:val="0"/>
          <w:iCs w:val="0"/>
          <w:color w:val="000000" w:themeColor="text1"/>
          <w:sz w:val="22"/>
          <w:szCs w:val="22"/>
        </w:rPr>
        <w:t xml:space="preserve">от 14.05.2025 по делу №</w:t>
      </w:r>
      <w:r>
        <w:rPr>
          <w:rStyle w:val="784"/>
          <w:i w:val="0"/>
          <w:iCs w:val="0"/>
          <w:color w:val="000000" w:themeColor="text1"/>
          <w:sz w:val="22"/>
          <w:szCs w:val="22"/>
        </w:rPr>
        <w:t xml:space="preserve"> </w:t>
      </w:r>
      <w:r>
        <w:rPr>
          <w:rStyle w:val="784"/>
          <w:i w:val="0"/>
          <w:iCs w:val="0"/>
          <w:color w:val="000000" w:themeColor="text1"/>
          <w:sz w:val="22"/>
          <w:szCs w:val="22"/>
        </w:rPr>
        <w:t xml:space="preserve">А47-2800/2025</w:t>
      </w:r>
      <w:r>
        <w:rPr>
          <w:i/>
          <w:iCs/>
          <w:color w:val="000000" w:themeColor="text1"/>
          <w:sz w:val="22"/>
          <w:szCs w:val="22"/>
        </w:rPr>
        <w:t xml:space="preserve">,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именуемый в дальнейшем </w:t>
      </w:r>
      <w:r>
        <w:rPr>
          <w:b/>
          <w:color w:val="000000" w:themeColor="text1"/>
          <w:sz w:val="22"/>
          <w:szCs w:val="22"/>
        </w:rPr>
        <w:t xml:space="preserve">«Продавец»</w:t>
      </w:r>
      <w:r>
        <w:rPr>
          <w:b/>
          <w:bCs/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с одной стороны, и ___________________, именуемый </w:t>
      </w:r>
      <w:r>
        <w:rPr>
          <w:color w:val="000000" w:themeColor="text1"/>
          <w:sz w:val="22"/>
          <w:szCs w:val="22"/>
        </w:rPr>
        <w:t xml:space="preserve">(-ая) </w:t>
      </w:r>
      <w:r>
        <w:rPr>
          <w:color w:val="000000" w:themeColor="text1"/>
          <w:sz w:val="22"/>
          <w:szCs w:val="22"/>
        </w:rPr>
        <w:t xml:space="preserve">в дальнейшем «</w:t>
      </w:r>
      <w:r>
        <w:rPr>
          <w:b/>
          <w:bCs/>
          <w:color w:val="000000" w:themeColor="text1"/>
          <w:sz w:val="22"/>
          <w:szCs w:val="22"/>
        </w:rPr>
        <w:t xml:space="preserve">Покупатель»</w:t>
      </w:r>
      <w:r>
        <w:rPr>
          <w:color w:val="000000" w:themeColor="text1"/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>
        <w:rPr>
          <w:color w:val="000000" w:themeColor="text1"/>
          <w:sz w:val="22"/>
          <w:szCs w:val="22"/>
        </w:rPr>
        <w:t xml:space="preserve">Трегубова Ивана Сергеевича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составили настоящий Договор о нижеследующем:</w:t>
      </w:r>
      <w:r>
        <w:rPr>
          <w:color w:val="000000" w:themeColor="text1"/>
          <w:sz w:val="22"/>
          <w:szCs w:val="22"/>
        </w:rPr>
        <w:t xml:space="preserve">  </w:t>
      </w:r>
      <w:r>
        <w:rPr>
          <w:b/>
          <w:color w:val="000000" w:themeColor="text1"/>
          <w:sz w:val="22"/>
          <w:szCs w:val="22"/>
        </w:rPr>
      </w:r>
    </w:p>
    <w:p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</w:t>
      </w:r>
      <w:r>
        <w:rPr>
          <w:b/>
          <w:color w:val="000000" w:themeColor="text1"/>
          <w:sz w:val="22"/>
          <w:szCs w:val="22"/>
          <w:lang w:val="en-US"/>
        </w:rPr>
        <w:t xml:space="preserve">I</w:t>
      </w:r>
      <w:r>
        <w:rPr>
          <w:b/>
          <w:color w:val="000000" w:themeColor="text1"/>
          <w:sz w:val="22"/>
          <w:szCs w:val="22"/>
        </w:rPr>
        <w:t xml:space="preserve">. Предмет Договора</w:t>
      </w:r>
      <w:r>
        <w:rPr>
          <w:color w:val="000000" w:themeColor="text1"/>
          <w:sz w:val="22"/>
          <w:szCs w:val="22"/>
        </w:rPr>
      </w:r>
    </w:p>
    <w:p>
      <w:pPr>
        <w:jc w:val="both"/>
        <w:shd w:val="clear" w:color="auto" w:fill="ffffff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>
        <w:rPr>
          <w:color w:val="000000" w:themeColor="text1"/>
          <w:sz w:val="22"/>
          <w:szCs w:val="22"/>
        </w:rPr>
        <w:t xml:space="preserve">следующее имущество (объект)</w:t>
      </w:r>
      <w:r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</w:rPr>
        <w:t xml:space="preserve">обеспеченное залогом в пользу</w:t>
      </w:r>
      <w:r>
        <w:rPr>
          <w:i/>
          <w:iCs/>
          <w:color w:val="000000" w:themeColor="text1"/>
          <w:sz w:val="22"/>
          <w:szCs w:val="22"/>
        </w:rPr>
        <w:t xml:space="preserve"> </w:t>
      </w:r>
      <w:r>
        <w:rPr>
          <w:rStyle w:val="784"/>
          <w:i w:val="0"/>
          <w:iCs w:val="0"/>
          <w:color w:val="000000" w:themeColor="text1"/>
          <w:sz w:val="22"/>
          <w:szCs w:val="22"/>
        </w:rPr>
        <w:t xml:space="preserve">ПАО «Совкомбанк» (ИНН 4401116480)</w:t>
      </w:r>
      <w:r>
        <w:rPr>
          <w:color w:val="000000" w:themeColor="text1"/>
          <w:sz w:val="22"/>
          <w:szCs w:val="22"/>
          <w:lang w:eastAsia="ru-RU"/>
        </w:rPr>
        <w:t xml:space="preserve">:</w:t>
      </w:r>
      <w:r>
        <w:rPr>
          <w:color w:val="000000" w:themeColor="text1"/>
          <w:sz w:val="22"/>
          <w:szCs w:val="22"/>
          <w:lang w:eastAsia="ru-RU"/>
        </w:rPr>
        <w:t xml:space="preserve"> т</w:t>
      </w:r>
      <w:r>
        <w:rPr>
          <w:color w:val="000000" w:themeColor="text1"/>
          <w:sz w:val="22"/>
          <w:szCs w:val="22"/>
          <w:lang w:eastAsia="ru-RU"/>
        </w:rPr>
        <w:t xml:space="preserve">ранспортное средство</w:t>
      </w:r>
      <w:r>
        <w:rPr>
          <w:color w:val="000000" w:themeColor="text1"/>
          <w:sz w:val="22"/>
          <w:szCs w:val="22"/>
          <w:lang w:eastAsia="ru-RU"/>
        </w:rPr>
        <w:t xml:space="preserve">, т</w:t>
      </w:r>
      <w:r>
        <w:rPr>
          <w:color w:val="000000" w:themeColor="text1"/>
          <w:sz w:val="22"/>
          <w:szCs w:val="22"/>
          <w:lang w:eastAsia="ru-RU"/>
        </w:rPr>
        <w:t xml:space="preserve">ип ТС: легковой комби (хэтчбек)</w:t>
      </w:r>
      <w:r>
        <w:rPr>
          <w:color w:val="000000" w:themeColor="text1"/>
          <w:sz w:val="22"/>
          <w:szCs w:val="22"/>
          <w:lang w:eastAsia="ru-RU"/>
        </w:rPr>
        <w:t xml:space="preserve">;</w:t>
      </w:r>
      <w:r>
        <w:rPr>
          <w:color w:val="000000" w:themeColor="text1"/>
          <w:sz w:val="22"/>
          <w:szCs w:val="22"/>
          <w:lang w:eastAsia="ru-RU"/>
        </w:rPr>
        <w:t xml:space="preserve"> м</w:t>
      </w:r>
      <w:r>
        <w:rPr>
          <w:color w:val="000000" w:themeColor="text1"/>
          <w:sz w:val="22"/>
          <w:szCs w:val="22"/>
          <w:lang w:eastAsia="ru-RU"/>
        </w:rPr>
        <w:t xml:space="preserve">арка, модель ТС: LADA GRANTA 219140</w:t>
      </w:r>
      <w:r>
        <w:rPr>
          <w:color w:val="000000" w:themeColor="text1"/>
          <w:sz w:val="22"/>
          <w:szCs w:val="22"/>
          <w:lang w:eastAsia="ru-RU"/>
        </w:rPr>
        <w:t xml:space="preserve">;</w:t>
      </w:r>
      <w:r>
        <w:rPr>
          <w:color w:val="000000" w:themeColor="text1"/>
          <w:sz w:val="22"/>
          <w:szCs w:val="22"/>
          <w:lang w:eastAsia="ru-RU"/>
        </w:rPr>
        <w:t xml:space="preserve"> г</w:t>
      </w:r>
      <w:r>
        <w:rPr>
          <w:color w:val="000000" w:themeColor="text1"/>
          <w:sz w:val="22"/>
          <w:szCs w:val="22"/>
          <w:lang w:eastAsia="ru-RU"/>
        </w:rPr>
        <w:t xml:space="preserve">од</w:t>
      </w:r>
      <w:r>
        <w:rPr>
          <w:color w:val="000000" w:themeColor="text1"/>
          <w:sz w:val="22"/>
          <w:szCs w:val="22"/>
          <w:lang w:eastAsia="ru-RU"/>
        </w:rPr>
        <w:t xml:space="preserve"> </w:t>
      </w:r>
      <w:r>
        <w:rPr>
          <w:color w:val="000000" w:themeColor="text1"/>
          <w:sz w:val="22"/>
          <w:szCs w:val="22"/>
          <w:lang w:eastAsia="ru-RU"/>
        </w:rPr>
        <w:t xml:space="preserve">выпуска ТС: 2024</w:t>
      </w:r>
      <w:r>
        <w:rPr>
          <w:color w:val="000000" w:themeColor="text1"/>
          <w:sz w:val="22"/>
          <w:szCs w:val="22"/>
          <w:lang w:eastAsia="ru-RU"/>
        </w:rPr>
        <w:t xml:space="preserve">; ц</w:t>
      </w:r>
      <w:r>
        <w:rPr>
          <w:color w:val="000000" w:themeColor="text1"/>
          <w:sz w:val="22"/>
          <w:szCs w:val="22"/>
          <w:lang w:eastAsia="ru-RU"/>
        </w:rPr>
        <w:t xml:space="preserve">вет: черный</w:t>
      </w:r>
      <w:r>
        <w:rPr>
          <w:color w:val="000000" w:themeColor="text1"/>
          <w:sz w:val="22"/>
          <w:szCs w:val="22"/>
          <w:lang w:eastAsia="ru-RU"/>
        </w:rPr>
        <w:t xml:space="preserve">, м</w:t>
      </w:r>
      <w:r>
        <w:rPr>
          <w:color w:val="000000" w:themeColor="text1"/>
          <w:sz w:val="22"/>
          <w:szCs w:val="22"/>
          <w:lang w:eastAsia="ru-RU"/>
        </w:rPr>
        <w:t xml:space="preserve">ощность двигателя, кВт / л.с.: 66 / 88.7</w:t>
      </w:r>
      <w:r>
        <w:rPr>
          <w:color w:val="000000" w:themeColor="text1"/>
          <w:sz w:val="22"/>
          <w:szCs w:val="22"/>
          <w:lang w:eastAsia="ru-RU"/>
        </w:rPr>
        <w:t xml:space="preserve">; т</w:t>
      </w:r>
      <w:r>
        <w:rPr>
          <w:color w:val="000000" w:themeColor="text1"/>
          <w:sz w:val="22"/>
          <w:szCs w:val="22"/>
          <w:lang w:eastAsia="ru-RU"/>
        </w:rPr>
        <w:t xml:space="preserve">ехнически допустимая</w:t>
      </w:r>
      <w:r>
        <w:rPr>
          <w:color w:val="000000" w:themeColor="text1"/>
          <w:sz w:val="22"/>
          <w:szCs w:val="22"/>
          <w:lang w:eastAsia="ru-RU"/>
        </w:rPr>
        <w:t xml:space="preserve"> </w:t>
      </w:r>
      <w:r>
        <w:rPr>
          <w:color w:val="000000" w:themeColor="text1"/>
          <w:sz w:val="22"/>
          <w:szCs w:val="22"/>
          <w:lang w:eastAsia="ru-RU"/>
        </w:rPr>
        <w:t xml:space="preserve">максимальная масса: 1 560 кг</w:t>
      </w:r>
      <w:r>
        <w:rPr>
          <w:color w:val="000000" w:themeColor="text1"/>
          <w:sz w:val="22"/>
          <w:szCs w:val="22"/>
          <w:lang w:eastAsia="ru-RU"/>
        </w:rPr>
        <w:t xml:space="preserve">, м</w:t>
      </w:r>
      <w:r>
        <w:rPr>
          <w:color w:val="000000" w:themeColor="text1"/>
          <w:sz w:val="22"/>
          <w:szCs w:val="22"/>
          <w:lang w:eastAsia="ru-RU"/>
        </w:rPr>
        <w:t xml:space="preserve">асса в снаряженном состоянии: 1 160 кг</w:t>
      </w:r>
      <w:r>
        <w:rPr>
          <w:color w:val="000000" w:themeColor="text1"/>
          <w:sz w:val="22"/>
          <w:szCs w:val="22"/>
          <w:lang w:eastAsia="ru-RU"/>
        </w:rPr>
        <w:t xml:space="preserve">; </w:t>
      </w:r>
      <w:r>
        <w:rPr>
          <w:color w:val="000000" w:themeColor="text1"/>
          <w:sz w:val="22"/>
          <w:szCs w:val="22"/>
          <w:lang w:eastAsia="ru-RU"/>
        </w:rPr>
        <w:t xml:space="preserve">VIN: XTA219140S0586492</w:t>
      </w:r>
      <w:r>
        <w:rPr>
          <w:color w:val="000000" w:themeColor="text1"/>
          <w:sz w:val="22"/>
          <w:szCs w:val="22"/>
          <w:lang w:eastAsia="ru-RU"/>
        </w:rPr>
        <w:t xml:space="preserve">; р</w:t>
      </w:r>
      <w:r>
        <w:rPr>
          <w:color w:val="000000" w:themeColor="text1"/>
          <w:sz w:val="22"/>
          <w:szCs w:val="22"/>
          <w:lang w:eastAsia="ru-RU"/>
        </w:rPr>
        <w:t xml:space="preserve">егистрационный номер: Е 390 РЕ 156</w:t>
      </w:r>
      <w:r>
        <w:rPr>
          <w:color w:val="000000" w:themeColor="text1"/>
          <w:sz w:val="22"/>
          <w:szCs w:val="22"/>
          <w:lang w:eastAsia="ru-RU"/>
        </w:rPr>
        <w:tab/>
      </w:r>
      <w:r>
        <w:rPr>
          <w:color w:val="000000" w:themeColor="text1"/>
          <w:sz w:val="22"/>
          <w:szCs w:val="22"/>
        </w:rPr>
      </w:r>
    </w:p>
    <w:p>
      <w:pPr>
        <w:ind w:firstLine="709"/>
        <w:jc w:val="both"/>
        <w:shd w:val="clear" w:color="auto" w:fill="ffffff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lang w:eastAsia="ru-RU"/>
        </w:rPr>
        <w:t xml:space="preserve">1.2. П</w:t>
      </w:r>
      <w:r>
        <w:rPr>
          <w:color w:val="000000" w:themeColor="text1"/>
          <w:sz w:val="22"/>
          <w:szCs w:val="22"/>
          <w:lang w:eastAsia="ru-RU"/>
        </w:rPr>
        <w:t xml:space="preserve">родажа заложенного имущества в предусмотренном </w:t>
      </w:r>
      <w:r>
        <w:rPr>
          <w:color w:val="000000" w:themeColor="text1"/>
          <w:sz w:val="22"/>
          <w:szCs w:val="22"/>
          <w:lang w:eastAsia="ru-RU"/>
        </w:rPr>
        <w:t xml:space="preserve">ФЗ «О несостоятельности (банкротстве)» № 127-ФЗ </w:t>
      </w:r>
      <w:r>
        <w:rPr>
          <w:color w:val="000000" w:themeColor="text1"/>
          <w:sz w:val="22"/>
          <w:szCs w:val="22"/>
          <w:lang w:eastAsia="ru-RU"/>
        </w:rPr>
        <w:t xml:space="preserve">порядке приводит к прекращению права залога.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</w:t>
      </w:r>
      <w:r>
        <w:rPr>
          <w:b/>
          <w:color w:val="000000" w:themeColor="text1"/>
          <w:sz w:val="22"/>
          <w:szCs w:val="22"/>
        </w:rPr>
        <w:t xml:space="preserve">. Стоимость Имущества и порядок его оплаты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2.1. Общая стоимость </w:t>
      </w:r>
      <w:r>
        <w:rPr>
          <w:bCs/>
          <w:color w:val="000000" w:themeColor="text1"/>
          <w:sz w:val="22"/>
          <w:szCs w:val="22"/>
        </w:rPr>
        <w:t xml:space="preserve">Имущества</w:t>
      </w:r>
      <w:r>
        <w:rPr>
          <w:color w:val="000000" w:themeColor="text1"/>
          <w:sz w:val="22"/>
          <w:szCs w:val="22"/>
        </w:rPr>
        <w:t xml:space="preserve"> составляет________________________ руб.</w:t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 xml:space="preserve">2.2. Задаток в сумме ______________________ руб.,</w:t>
      </w:r>
      <w:r>
        <w:rPr>
          <w:bCs/>
          <w:color w:val="000000" w:themeColor="text1"/>
          <w:spacing w:val="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перечислен на расчетный счет Покупателем по Договор</w:t>
      </w:r>
      <w:r>
        <w:rPr>
          <w:color w:val="000000" w:themeColor="text1"/>
          <w:sz w:val="22"/>
          <w:szCs w:val="22"/>
        </w:rPr>
        <w:t xml:space="preserve">у</w:t>
      </w:r>
      <w:r>
        <w:rPr>
          <w:color w:val="000000" w:themeColor="text1"/>
          <w:sz w:val="22"/>
          <w:szCs w:val="22"/>
        </w:rPr>
        <w:t xml:space="preserve"> задатк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 от «__» ______ </w:t>
      </w:r>
      <w:r>
        <w:rPr>
          <w:color w:val="000000" w:themeColor="text1"/>
          <w:sz w:val="22"/>
          <w:szCs w:val="22"/>
        </w:rPr>
        <w:t xml:space="preserve">20</w:t>
      </w:r>
      <w:r>
        <w:rPr>
          <w:color w:val="000000" w:themeColor="text1"/>
          <w:sz w:val="22"/>
          <w:szCs w:val="22"/>
        </w:rPr>
        <w:t xml:space="preserve">__</w:t>
      </w:r>
      <w:r>
        <w:rPr>
          <w:color w:val="000000" w:themeColor="text1"/>
          <w:sz w:val="22"/>
          <w:szCs w:val="22"/>
        </w:rPr>
        <w:t xml:space="preserve"> года, засчитывается в счет оплаты Имущества. </w:t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За вычетом суммы задатка Покупатель должен уплатить_________________ руб. </w:t>
      </w:r>
      <w:r>
        <w:rPr>
          <w:color w:val="000000" w:themeColor="text1"/>
          <w:sz w:val="22"/>
          <w:szCs w:val="22"/>
        </w:rPr>
      </w:r>
    </w:p>
    <w:p>
      <w:pPr>
        <w:ind w:firstLine="709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Оплата производится по следующим реквизитам:</w:t>
      </w:r>
      <w:r>
        <w:rPr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Валюта Российский рубль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Филиал «Центральный» ПАО «Совкомбанк» (г. Бердск)</w:t>
      </w:r>
      <w:r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к/с 30101810150040000763 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БИК 045004763 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ИНН банка 4401116480 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Р/с </w:t>
      </w:r>
      <w:r>
        <w:rPr>
          <w:rFonts w:eastAsia="Calibri"/>
          <w:color w:val="000000" w:themeColor="text1"/>
          <w:sz w:val="22"/>
          <w:szCs w:val="22"/>
        </w:rPr>
        <w:t xml:space="preserve">40817810150207615794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Получатель: Трегубов Иван Сергеевич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ind w:left="709"/>
        <w:spacing w:line="259" w:lineRule="auto"/>
        <w:rPr>
          <w:rFonts w:eastAsia="Calibri"/>
          <w:color w:val="000000" w:themeColor="text1"/>
          <w:sz w:val="22"/>
          <w:szCs w:val="22"/>
        </w:rPr>
      </w:pP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Назначение платежа: оплата по договору купли-продажи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 по Лоту 1</w:t>
      </w:r>
      <w:r>
        <w:rPr>
          <w:rFonts w:eastAsia="Calibri"/>
          <w:color w:val="000000" w:themeColor="text1"/>
          <w:sz w:val="22"/>
          <w:szCs w:val="22"/>
          <w:lang w:eastAsia="en-US"/>
        </w:rPr>
        <w:t xml:space="preserve">. </w:t>
      </w:r>
      <w:r>
        <w:rPr>
          <w:rFonts w:eastAsia="Calibri"/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</w:t>
      </w:r>
      <w:r>
        <w:rPr>
          <w:color w:val="000000" w:themeColor="text1"/>
          <w:sz w:val="22"/>
          <w:szCs w:val="22"/>
        </w:rPr>
        <w:t xml:space="preserve">2.4. Оплата производится в течении 30 дней с момента подписания настоящего Договора.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III</w:t>
      </w:r>
      <w:r>
        <w:rPr>
          <w:b/>
          <w:color w:val="000000" w:themeColor="text1"/>
          <w:sz w:val="22"/>
          <w:szCs w:val="22"/>
        </w:rPr>
        <w:t xml:space="preserve">. Передача Имущества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tabs>
          <w:tab w:val="center" w:pos="8505" w:leader="none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>
        <w:rPr>
          <w:color w:val="000000" w:themeColor="text1"/>
          <w:sz w:val="22"/>
          <w:szCs w:val="22"/>
        </w:rPr>
        <w:t xml:space="preserve">полной </w:t>
      </w:r>
      <w:r>
        <w:rPr>
          <w:color w:val="000000" w:themeColor="text1"/>
          <w:sz w:val="22"/>
          <w:szCs w:val="22"/>
        </w:rPr>
        <w:t xml:space="preserve">опла</w:t>
      </w:r>
      <w:r>
        <w:rPr>
          <w:color w:val="000000" w:themeColor="text1"/>
          <w:sz w:val="22"/>
          <w:szCs w:val="22"/>
        </w:rPr>
        <w:t xml:space="preserve">ты.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3.3. Принятое Покупателем Имущество возврату не подлежит. Продавец не несет ответственности за качество проданного Имущества.</w:t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IV</w:t>
      </w:r>
      <w:r>
        <w:rPr>
          <w:b/>
          <w:color w:val="000000" w:themeColor="text1"/>
          <w:sz w:val="22"/>
          <w:szCs w:val="22"/>
        </w:rPr>
        <w:t xml:space="preserve">. Ответственность сторон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4.2. Стороны договорились, что не поступление денежных средств в счет оплаты Имущества в сумме и в сроки, указанные в п. 2.3</w:t>
      </w:r>
      <w:r>
        <w:rPr>
          <w:color w:val="000000" w:themeColor="text1"/>
          <w:sz w:val="22"/>
          <w:szCs w:val="22"/>
        </w:rPr>
        <w:t xml:space="preserve"> и п. 2.4</w:t>
      </w:r>
      <w:r>
        <w:rPr>
          <w:color w:val="000000" w:themeColor="text1"/>
          <w:sz w:val="22"/>
          <w:szCs w:val="22"/>
        </w:rPr>
        <w:t xml:space="preserve"> наст</w:t>
      </w:r>
      <w:r>
        <w:rPr>
          <w:color w:val="000000" w:themeColor="text1"/>
          <w:sz w:val="22"/>
          <w:szCs w:val="22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</w:t>
      </w:r>
      <w:r>
        <w:rPr>
          <w:color w:val="000000" w:themeColor="text1"/>
          <w:sz w:val="22"/>
          <w:szCs w:val="22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4.3. </w:t>
      </w:r>
      <w:r>
        <w:rPr>
          <w:color w:val="000000" w:themeColor="text1"/>
          <w:sz w:val="22"/>
          <w:szCs w:val="22"/>
        </w:rPr>
        <w:t xml:space="preserve">Стороны договорились, что не принятие Покупателем Имущества в предусмотренные п. 3.2 настоящего До</w:t>
      </w:r>
      <w:r>
        <w:rPr>
          <w:color w:val="000000" w:themeColor="text1"/>
          <w:sz w:val="22"/>
          <w:szCs w:val="22"/>
        </w:rPr>
        <w:t xml:space="preserve">говора сроки, считается отказом Покупателя от исполнения обязательств по принятию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Покупатель выплачивает Продавцу штраф в размере внесенного задатка. В предусмотренном настоящи</w:t>
      </w:r>
      <w:r>
        <w:rPr>
          <w:color w:val="000000" w:themeColor="text1"/>
          <w:sz w:val="22"/>
          <w:szCs w:val="22"/>
        </w:rPr>
        <w:t xml:space="preserve">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данном случае оформление Сторонами дополнительного соглашения о расторжении настоящего Договора не требуется.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</w:t>
      </w:r>
      <w:r>
        <w:rPr>
          <w:b/>
          <w:color w:val="000000" w:themeColor="text1"/>
          <w:sz w:val="22"/>
          <w:szCs w:val="22"/>
        </w:rPr>
        <w:t xml:space="preserve">. Прочие условия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5.1. Настоящий Договор вступает в силу с момента его подписания и прекращает свое действие при:</w:t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надлежащем исполнении Сторонами своих обязательств;</w:t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расторжении в предусмотренных федеральным законодательством и настоящим Договором случаях;</w:t>
      </w:r>
      <w:r>
        <w:rPr>
          <w:color w:val="000000" w:themeColor="text1"/>
          <w:sz w:val="22"/>
          <w:szCs w:val="22"/>
        </w:rPr>
      </w:r>
    </w:p>
    <w:p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возникновении оснований, предусмотренных законодательством Российской Федерации.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5.3. Все уведомления и сообщения должны направляться в письменной форме.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5.4. Во всем остальном, что не предусмотрено настоящим Договором, Стороны руководствуются федеральным законодательством</w:t>
      </w:r>
      <w:r>
        <w:rPr>
          <w:color w:val="000000" w:themeColor="text1"/>
          <w:sz w:val="22"/>
          <w:szCs w:val="22"/>
        </w:rPr>
        <w:t xml:space="preserve"> Российской Федерации.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>
        <w:rPr>
          <w:color w:val="000000" w:themeColor="text1"/>
          <w:sz w:val="22"/>
          <w:szCs w:val="22"/>
        </w:rPr>
        <w:t xml:space="preserve">а </w:t>
      </w:r>
      <w:r>
        <w:rPr>
          <w:color w:val="000000" w:themeColor="text1"/>
          <w:sz w:val="22"/>
          <w:szCs w:val="22"/>
        </w:rPr>
        <w:t xml:space="preserve">Российской Федерации.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</w:t>
      </w:r>
      <w:r>
        <w:rPr>
          <w:b/>
          <w:color w:val="000000" w:themeColor="text1"/>
          <w:sz w:val="22"/>
          <w:szCs w:val="22"/>
        </w:rPr>
        <w:t xml:space="preserve">. Заключительные положения</w:t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3"/>
        </w:numPr>
        <w:ind w:left="0"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>
        <w:rPr>
          <w:color w:val="000000" w:themeColor="text1"/>
          <w:sz w:val="22"/>
          <w:szCs w:val="22"/>
        </w:rPr>
        <w:t xml:space="preserve">ого</w:t>
      </w:r>
      <w:r>
        <w:rPr>
          <w:color w:val="000000" w:themeColor="text1"/>
          <w:sz w:val="22"/>
          <w:szCs w:val="22"/>
        </w:rPr>
        <w:t xml:space="preserve"> орган</w:t>
      </w:r>
      <w:r>
        <w:rPr>
          <w:color w:val="000000" w:themeColor="text1"/>
          <w:sz w:val="22"/>
          <w:szCs w:val="22"/>
        </w:rPr>
        <w:t xml:space="preserve">а</w:t>
      </w:r>
      <w:r>
        <w:rPr>
          <w:color w:val="000000" w:themeColor="text1"/>
          <w:sz w:val="22"/>
          <w:szCs w:val="22"/>
        </w:rPr>
        <w:t xml:space="preserve">.</w:t>
      </w:r>
      <w:r>
        <w:rPr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</w:r>
      <w:r>
        <w:rPr>
          <w:b/>
          <w:color w:val="000000" w:themeColor="text1"/>
          <w:sz w:val="22"/>
          <w:szCs w:val="22"/>
        </w:rPr>
      </w:r>
    </w:p>
    <w:p>
      <w:pPr>
        <w:ind w:firstLine="720"/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VII</w:t>
      </w:r>
      <w:r>
        <w:rPr>
          <w:b/>
          <w:color w:val="000000" w:themeColor="text1"/>
          <w:sz w:val="22"/>
          <w:szCs w:val="22"/>
        </w:rPr>
        <w:t xml:space="preserve">. Место нахождения и банковские реквизиты Сторон</w:t>
      </w:r>
      <w:r>
        <w:rPr>
          <w:b/>
          <w:color w:val="000000" w:themeColor="text1"/>
          <w:sz w:val="22"/>
          <w:szCs w:val="22"/>
        </w:rPr>
      </w:r>
    </w:p>
    <w:p>
      <w:pPr>
        <w:rPr>
          <w:vanish/>
          <w:color w:val="000000" w:themeColor="text1"/>
        </w:rPr>
      </w:pPr>
      <w:r>
        <w:rPr>
          <w:vanish/>
          <w:color w:val="000000" w:themeColor="text1"/>
        </w:rPr>
      </w:r>
      <w:r>
        <w:rPr>
          <w:vanish/>
          <w:color w:val="000000" w:themeColor="text1"/>
        </w:rPr>
      </w:r>
    </w:p>
    <w:tbl>
      <w:tblPr>
        <w:tblpPr w:horzAnchor="margin" w:tblpXSpec="left" w:vertAnchor="text" w:tblpY="261" w:leftFromText="180" w:topFromText="0" w:rightFromText="180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>
        <w:tblPrEx/>
        <w:trPr/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Продавец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Трегубов Иван Сергеевич 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(09.07.1982 г.р., м.р.: г. Соль-Илецк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,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Соль-Илецк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ий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 р-н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,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 Оренбургск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ая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 обл.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СНИЛС 103-917-479 51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ИНН 564602902527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адрес: г. Оренбург, ул. Тамбовская, 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д. </w:t>
            </w:r>
            <w:r>
              <w:rPr>
                <w:rStyle w:val="784"/>
                <w:i w:val="0"/>
                <w:iCs w:val="0"/>
                <w:color w:val="000000" w:themeColor="text1"/>
                <w:sz w:val="22"/>
                <w:szCs w:val="22"/>
              </w:rPr>
              <w:t xml:space="preserve">8, кв. 6)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к/с 30101810150040000763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Р/с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40817810150207615794</w:t>
            </w: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spacing w:line="259" w:lineRule="auto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Получатель: Трегубов Иван Сергеевич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Финансовый управляющий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Трегубова Ивана Сергеевича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Ольга Валерьевна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</w:rPr>
            </w:r>
            <w:bookmarkStart w:id="0" w:name="_GoBack"/>
            <w:r>
              <w:rPr>
                <w:color w:val="000000" w:themeColor="text1"/>
              </w:rPr>
            </w:r>
            <w:bookmarkEnd w:id="0"/>
            <w:r>
              <w:rPr>
                <w:color w:val="000000" w:themeColor="text1"/>
              </w:rPr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______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Дараган О.В.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W w:w="5211" w:type="dxa"/>
            <w:textDirection w:val="lrTb"/>
            <w:noWrap w:val="false"/>
          </w:tcPr>
          <w:p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Покупатель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_______________________</w:t>
            </w:r>
            <w:r>
              <w:rPr>
                <w:color w:val="000000" w:themeColor="text1"/>
                <w:sz w:val="22"/>
                <w:szCs w:val="22"/>
              </w:rPr>
              <w:t xml:space="preserve"> / ____________ /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453" w:right="567" w:bottom="142" w:left="1134" w:header="397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Microsoft YaHei">
    <w:panose1 w:val="020B0603020202020204"/>
  </w:font>
  <w:font w:name="Mangal">
    <w:panose1 w:val="02040503050406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720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721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pStyle w:val="722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3"/>
    <w:link w:val="72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3"/>
    <w:link w:val="7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3"/>
    <w:link w:val="722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9"/>
    <w:next w:val="7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9"/>
    <w:next w:val="7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9"/>
    <w:next w:val="7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9"/>
    <w:next w:val="7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9"/>
    <w:next w:val="7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9"/>
    <w:next w:val="7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9"/>
    <w:uiPriority w:val="34"/>
    <w:qFormat/>
    <w:pPr>
      <w:contextualSpacing/>
      <w:ind w:left="720"/>
    </w:pPr>
  </w:style>
  <w:style w:type="character" w:styleId="35">
    <w:name w:val="Title Char"/>
    <w:basedOn w:val="723"/>
    <w:link w:val="768"/>
    <w:uiPriority w:val="10"/>
    <w:rPr>
      <w:sz w:val="48"/>
      <w:szCs w:val="48"/>
    </w:rPr>
  </w:style>
  <w:style w:type="paragraph" w:styleId="36">
    <w:name w:val="Subtitle"/>
    <w:basedOn w:val="719"/>
    <w:next w:val="7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3"/>
    <w:link w:val="36"/>
    <w:uiPriority w:val="11"/>
    <w:rPr>
      <w:sz w:val="24"/>
      <w:szCs w:val="24"/>
    </w:rPr>
  </w:style>
  <w:style w:type="paragraph" w:styleId="38">
    <w:name w:val="Quote"/>
    <w:basedOn w:val="719"/>
    <w:next w:val="7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9"/>
    <w:next w:val="7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3"/>
    <w:link w:val="777"/>
    <w:uiPriority w:val="99"/>
  </w:style>
  <w:style w:type="character" w:styleId="45">
    <w:name w:val="Footer Char"/>
    <w:basedOn w:val="723"/>
    <w:link w:val="778"/>
    <w:uiPriority w:val="99"/>
  </w:style>
  <w:style w:type="paragraph" w:styleId="46">
    <w:name w:val="Caption"/>
    <w:basedOn w:val="719"/>
    <w:next w:val="7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3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7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3"/>
    <w:uiPriority w:val="99"/>
    <w:unhideWhenUsed/>
    <w:rPr>
      <w:vertAlign w:val="superscript"/>
    </w:rPr>
  </w:style>
  <w:style w:type="paragraph" w:styleId="178">
    <w:name w:val="endnote text"/>
    <w:basedOn w:val="7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3"/>
    <w:uiPriority w:val="99"/>
    <w:semiHidden/>
    <w:unhideWhenUsed/>
    <w:rPr>
      <w:vertAlign w:val="superscript"/>
    </w:rPr>
  </w:style>
  <w:style w:type="paragraph" w:styleId="181">
    <w:name w:val="toc 1"/>
    <w:basedOn w:val="719"/>
    <w:next w:val="7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9"/>
    <w:next w:val="7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9"/>
    <w:next w:val="7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9"/>
    <w:next w:val="7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9"/>
    <w:next w:val="7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9"/>
    <w:next w:val="7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9"/>
    <w:next w:val="7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9"/>
    <w:next w:val="7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9"/>
    <w:next w:val="7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9"/>
    <w:next w:val="719"/>
    <w:uiPriority w:val="99"/>
    <w:unhideWhenUsed/>
    <w:pPr>
      <w:spacing w:after="0" w:afterAutospacing="0"/>
    </w:pPr>
  </w:style>
  <w:style w:type="paragraph" w:styleId="719" w:default="1">
    <w:name w:val="Normal"/>
    <w:qFormat/>
    <w:rPr>
      <w:color w:val="000000"/>
      <w:lang w:eastAsia="ar-SA"/>
    </w:rPr>
  </w:style>
  <w:style w:type="paragraph" w:styleId="720">
    <w:name w:val="Heading 1"/>
    <w:basedOn w:val="719"/>
    <w:next w:val="719"/>
    <w:qFormat/>
    <w:pPr>
      <w:numPr>
        <w:ilvl w:val="0"/>
        <w:numId w:val="1"/>
      </w:numPr>
      <w:keepLines/>
      <w:keepNext/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721">
    <w:name w:val="Heading 2"/>
    <w:basedOn w:val="720"/>
    <w:next w:val="719"/>
    <w:qFormat/>
    <w:pPr>
      <w:numPr>
        <w:ilvl w:val="1"/>
      </w:numPr>
      <w:outlineLvl w:val="1"/>
    </w:pPr>
    <w:rPr>
      <w:sz w:val="32"/>
      <w:szCs w:val="32"/>
    </w:rPr>
  </w:style>
  <w:style w:type="paragraph" w:styleId="722">
    <w:name w:val="Heading 3"/>
    <w:basedOn w:val="721"/>
    <w:next w:val="719"/>
    <w:qFormat/>
    <w:pPr>
      <w:numPr>
        <w:ilvl w:val="2"/>
      </w:numPr>
      <w:outlineLvl w:val="2"/>
    </w:pPr>
    <w:rPr>
      <w:sz w:val="28"/>
      <w:szCs w:val="28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WW8Num1z0"/>
  </w:style>
  <w:style w:type="character" w:styleId="727" w:customStyle="1">
    <w:name w:val="WW8Num1z1"/>
  </w:style>
  <w:style w:type="character" w:styleId="728" w:customStyle="1">
    <w:name w:val="WW8Num1z2"/>
  </w:style>
  <w:style w:type="character" w:styleId="729" w:customStyle="1">
    <w:name w:val="WW8Num1z3"/>
  </w:style>
  <w:style w:type="character" w:styleId="730" w:customStyle="1">
    <w:name w:val="WW8Num1z4"/>
  </w:style>
  <w:style w:type="character" w:styleId="731" w:customStyle="1">
    <w:name w:val="WW8Num1z5"/>
  </w:style>
  <w:style w:type="character" w:styleId="732" w:customStyle="1">
    <w:name w:val="WW8Num1z6"/>
  </w:style>
  <w:style w:type="character" w:styleId="733" w:customStyle="1">
    <w:name w:val="WW8Num1z7"/>
  </w:style>
  <w:style w:type="character" w:styleId="734" w:customStyle="1">
    <w:name w:val="WW8Num1z8"/>
  </w:style>
  <w:style w:type="character" w:styleId="735" w:customStyle="1">
    <w:name w:val="WW8Num2z0"/>
  </w:style>
  <w:style w:type="character" w:styleId="736" w:customStyle="1">
    <w:name w:val="WW8Num2z1"/>
  </w:style>
  <w:style w:type="character" w:styleId="737" w:customStyle="1">
    <w:name w:val="WW8Num2z2"/>
  </w:style>
  <w:style w:type="character" w:styleId="738" w:customStyle="1">
    <w:name w:val="WW8Num2z3"/>
  </w:style>
  <w:style w:type="character" w:styleId="739" w:customStyle="1">
    <w:name w:val="WW8Num2z4"/>
  </w:style>
  <w:style w:type="character" w:styleId="740" w:customStyle="1">
    <w:name w:val="WW8Num2z5"/>
  </w:style>
  <w:style w:type="character" w:styleId="741" w:customStyle="1">
    <w:name w:val="WW8Num2z6"/>
  </w:style>
  <w:style w:type="character" w:styleId="742" w:customStyle="1">
    <w:name w:val="WW8Num2z7"/>
  </w:style>
  <w:style w:type="character" w:styleId="743" w:customStyle="1">
    <w:name w:val="WW8Num2z8"/>
  </w:style>
  <w:style w:type="character" w:styleId="744" w:customStyle="1">
    <w:name w:val="WW8Num3z0"/>
  </w:style>
  <w:style w:type="character" w:styleId="745" w:customStyle="1">
    <w:name w:val="WW8Num3z1"/>
  </w:style>
  <w:style w:type="character" w:styleId="746" w:customStyle="1">
    <w:name w:val="WW8Num3z2"/>
  </w:style>
  <w:style w:type="character" w:styleId="747" w:customStyle="1">
    <w:name w:val="WW8Num3z3"/>
  </w:style>
  <w:style w:type="character" w:styleId="748" w:customStyle="1">
    <w:name w:val="WW8Num3z4"/>
  </w:style>
  <w:style w:type="character" w:styleId="749" w:customStyle="1">
    <w:name w:val="WW8Num3z5"/>
  </w:style>
  <w:style w:type="character" w:styleId="750" w:customStyle="1">
    <w:name w:val="WW8Num3z6"/>
  </w:style>
  <w:style w:type="character" w:styleId="751" w:customStyle="1">
    <w:name w:val="WW8Num3z7"/>
  </w:style>
  <w:style w:type="character" w:styleId="752" w:customStyle="1">
    <w:name w:val="WW8Num3z8"/>
  </w:style>
  <w:style w:type="character" w:styleId="753" w:customStyle="1">
    <w:name w:val="Основной шрифт абзаца3"/>
  </w:style>
  <w:style w:type="character" w:styleId="754" w:customStyle="1">
    <w:name w:val="Основной шрифт абзаца2"/>
  </w:style>
  <w:style w:type="character" w:styleId="755" w:customStyle="1">
    <w:name w:val="WW8Num1zfalse"/>
  </w:style>
  <w:style w:type="character" w:styleId="756" w:customStyle="1">
    <w:name w:val="WW8Num1ztrue"/>
  </w:style>
  <w:style w:type="character" w:styleId="757" w:customStyle="1">
    <w:name w:val="WW-WW8Num1ztrue"/>
  </w:style>
  <w:style w:type="character" w:styleId="758" w:customStyle="1">
    <w:name w:val="WW-WW8Num1ztrue1"/>
  </w:style>
  <w:style w:type="character" w:styleId="759" w:customStyle="1">
    <w:name w:val="WW-WW8Num1ztrue12"/>
  </w:style>
  <w:style w:type="character" w:styleId="760" w:customStyle="1">
    <w:name w:val="WW-WW8Num1ztrue123"/>
  </w:style>
  <w:style w:type="character" w:styleId="761" w:customStyle="1">
    <w:name w:val="WW-WW8Num1ztrue1234"/>
  </w:style>
  <w:style w:type="character" w:styleId="762" w:customStyle="1">
    <w:name w:val="WW-WW8Num1ztrue12345"/>
  </w:style>
  <w:style w:type="character" w:styleId="763" w:customStyle="1">
    <w:name w:val="WW-WW8Num1ztrue123456"/>
  </w:style>
  <w:style w:type="character" w:styleId="764" w:customStyle="1">
    <w:name w:val="Основной шрифт абзаца1"/>
  </w:style>
  <w:style w:type="character" w:styleId="765" w:customStyle="1">
    <w:name w:val="Нижний колонтитул Знак"/>
    <w:rPr>
      <w:color w:val="000000"/>
    </w:rPr>
  </w:style>
  <w:style w:type="character" w:styleId="766" w:customStyle="1">
    <w:name w:val="ubi1"/>
    <w:rPr>
      <w:b/>
      <w:bCs/>
      <w:i/>
      <w:iCs/>
      <w:u w:val="single"/>
    </w:rPr>
  </w:style>
  <w:style w:type="character" w:styleId="767" w:customStyle="1">
    <w:name w:val="Символ нумерации"/>
  </w:style>
  <w:style w:type="paragraph" w:styleId="768">
    <w:name w:val="Title"/>
    <w:basedOn w:val="719"/>
    <w:next w:val="769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769">
    <w:name w:val="Body Text"/>
    <w:basedOn w:val="719"/>
    <w:pPr>
      <w:spacing w:after="120"/>
    </w:pPr>
  </w:style>
  <w:style w:type="paragraph" w:styleId="770">
    <w:name w:val="List"/>
    <w:basedOn w:val="769"/>
    <w:rPr>
      <w:rFonts w:cs="Mangal"/>
    </w:rPr>
  </w:style>
  <w:style w:type="paragraph" w:styleId="771" w:customStyle="1">
    <w:name w:val="Название2"/>
    <w:basedOn w:val="719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72" w:customStyle="1">
    <w:name w:val="Указатель3"/>
    <w:basedOn w:val="719"/>
    <w:pPr>
      <w:suppressLineNumbers/>
    </w:pPr>
    <w:rPr>
      <w:rFonts w:cs="Arial"/>
    </w:rPr>
  </w:style>
  <w:style w:type="paragraph" w:styleId="773" w:customStyle="1">
    <w:name w:val="Название1"/>
    <w:basedOn w:val="719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74" w:customStyle="1">
    <w:name w:val="Указатель2"/>
    <w:basedOn w:val="719"/>
    <w:pPr>
      <w:suppressLineNumbers/>
    </w:pPr>
    <w:rPr>
      <w:rFonts w:cs="Arial"/>
    </w:rPr>
  </w:style>
  <w:style w:type="paragraph" w:styleId="775" w:customStyle="1">
    <w:name w:val="Название объекта1"/>
    <w:basedOn w:val="71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76" w:customStyle="1">
    <w:name w:val="Указатель1"/>
    <w:basedOn w:val="719"/>
    <w:pPr>
      <w:suppressLineNumbers/>
    </w:pPr>
    <w:rPr>
      <w:rFonts w:cs="Mangal"/>
    </w:rPr>
  </w:style>
  <w:style w:type="paragraph" w:styleId="777">
    <w:name w:val="Header"/>
    <w:basedOn w:val="719"/>
    <w:pPr>
      <w:tabs>
        <w:tab w:val="center" w:pos="4153" w:leader="none"/>
        <w:tab w:val="right" w:pos="8306" w:leader="none"/>
      </w:tabs>
    </w:pPr>
  </w:style>
  <w:style w:type="paragraph" w:styleId="778">
    <w:name w:val="Footer"/>
    <w:basedOn w:val="719"/>
    <w:pPr>
      <w:tabs>
        <w:tab w:val="center" w:pos="4153" w:leader="none"/>
        <w:tab w:val="right" w:pos="8306" w:leader="none"/>
      </w:tabs>
    </w:pPr>
  </w:style>
  <w:style w:type="paragraph" w:styleId="779">
    <w:name w:val="Balloon Text"/>
    <w:basedOn w:val="719"/>
    <w:rPr>
      <w:rFonts w:ascii="Tahoma" w:hAnsi="Tahoma" w:cs="Tahoma"/>
      <w:sz w:val="16"/>
      <w:szCs w:val="16"/>
    </w:rPr>
  </w:style>
  <w:style w:type="paragraph" w:styleId="780" w:customStyle="1">
    <w:name w:val="Нормальный (таблица)"/>
    <w:basedOn w:val="719"/>
    <w:next w:val="719"/>
    <w:pPr>
      <w:jc w:val="both"/>
      <w:widowControl w:val="off"/>
    </w:pPr>
    <w:rPr>
      <w:rFonts w:ascii="Arial" w:hAnsi="Arial" w:cs="Arial"/>
      <w:color w:val="auto"/>
      <w:sz w:val="24"/>
      <w:szCs w:val="24"/>
    </w:rPr>
  </w:style>
  <w:style w:type="paragraph" w:styleId="781" w:customStyle="1">
    <w:name w:val="Содержимое таблицы"/>
    <w:basedOn w:val="719"/>
    <w:pPr>
      <w:suppressLineNumbers/>
    </w:pPr>
  </w:style>
  <w:style w:type="paragraph" w:styleId="782" w:customStyle="1">
    <w:name w:val="Заголовок таблицы"/>
    <w:basedOn w:val="781"/>
    <w:pPr>
      <w:jc w:val="center"/>
    </w:pPr>
    <w:rPr>
      <w:b/>
      <w:bCs/>
    </w:rPr>
  </w:style>
  <w:style w:type="paragraph" w:styleId="783">
    <w:name w:val="No Spacing"/>
    <w:uiPriority w:val="1"/>
    <w:qFormat/>
    <w:rPr>
      <w:rFonts w:ascii="Calibri" w:hAnsi="Calibri"/>
      <w:sz w:val="22"/>
      <w:szCs w:val="22"/>
      <w:lang w:eastAsia="en-US"/>
    </w:rPr>
  </w:style>
  <w:style w:type="character" w:styleId="784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4D0E7-D08C-4B10-BCB8-D36A3F7C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Ольга Дараган</cp:lastModifiedBy>
  <cp:revision>8</cp:revision>
  <dcterms:created xsi:type="dcterms:W3CDTF">2026-03-23T07:46:00Z</dcterms:created>
  <dcterms:modified xsi:type="dcterms:W3CDTF">2026-07-01T17:17:41Z</dcterms:modified>
</cp:coreProperties>
</file>