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465C2FCF" w:rsidR="00DC029B" w:rsidRPr="0062290E" w:rsidRDefault="0092527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9252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Гусейнов Максуд </w:t>
      </w:r>
      <w:proofErr w:type="spellStart"/>
      <w:r w:rsidRPr="00925270">
        <w:rPr>
          <w:b/>
          <w:color w:val="000000"/>
          <w:sz w:val="24"/>
          <w:szCs w:val="24"/>
          <w:shd w:val="clear" w:color="auto" w:fill="FFFFFF"/>
          <w:lang w:eastAsia="ru-RU"/>
        </w:rPr>
        <w:t>Мурадович</w:t>
      </w:r>
      <w:proofErr w:type="spellEnd"/>
      <w:r w:rsidRPr="009252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25270">
        <w:rPr>
          <w:bCs/>
          <w:color w:val="000000"/>
          <w:sz w:val="24"/>
          <w:szCs w:val="24"/>
          <w:shd w:val="clear" w:color="auto" w:fill="FFFFFF"/>
          <w:lang w:eastAsia="ru-RU"/>
        </w:rPr>
        <w:t>(ИНН 054606348557, СНИЛС 192-504-057 57, 11.03.2002 г.р., место рождения - с. Комсомольское Кизилюртовский район Дагестан, адрес регистрации: Ставропольский край, р-н. Советский, г. Зеленокумск, ул. 60 лет Октября, д. 49</w:t>
      </w:r>
      <w:r w:rsidR="00C67BBD" w:rsidRPr="00925270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 w:rsidRPr="00925270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9252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9252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25270">
        <w:rPr>
          <w:bCs/>
          <w:sz w:val="24"/>
          <w:szCs w:val="24"/>
        </w:rPr>
        <w:t>Арбитражного суда Ставропольского края от 09.12.2025 г. по делу № А63-23577/2025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464D65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13DBA7F" w:rsidR="00DC029B" w:rsidRPr="00925270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925270" w:rsidRPr="00925270">
        <w:rPr>
          <w:b/>
          <w:color w:val="000000"/>
          <w:sz w:val="24"/>
          <w:szCs w:val="24"/>
          <w:lang w:eastAsia="ru-RU"/>
        </w:rPr>
        <w:t xml:space="preserve">Гусейнов Максуд </w:t>
      </w:r>
      <w:proofErr w:type="spellStart"/>
      <w:r w:rsidR="00925270" w:rsidRPr="00925270">
        <w:rPr>
          <w:b/>
          <w:color w:val="000000"/>
          <w:sz w:val="24"/>
          <w:szCs w:val="24"/>
          <w:lang w:eastAsia="ru-RU"/>
        </w:rPr>
        <w:t>Мурадович</w:t>
      </w:r>
      <w:proofErr w:type="spellEnd"/>
      <w:r w:rsidR="00925270" w:rsidRPr="00925270">
        <w:rPr>
          <w:b/>
          <w:color w:val="000000"/>
          <w:sz w:val="24"/>
          <w:szCs w:val="24"/>
          <w:lang w:eastAsia="ru-RU"/>
        </w:rPr>
        <w:t xml:space="preserve"> </w:t>
      </w:r>
      <w:r w:rsidR="00925270" w:rsidRPr="00925270">
        <w:rPr>
          <w:bCs/>
          <w:color w:val="000000"/>
          <w:sz w:val="24"/>
          <w:szCs w:val="24"/>
          <w:lang w:eastAsia="ru-RU"/>
        </w:rPr>
        <w:t>ИНН 054606348557, ИНН Банка 4401116480, р/с 40817810350224009837 в ФИЛИАЛ "ЦЕНТРАЛЬНЫЙ" ПАО "СОВКОМБАНК"(БЕРДСК) к/с 30101810150040000763 БИК 045004763</w:t>
      </w:r>
      <w:r w:rsidR="00D01A2F" w:rsidRPr="00925270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925270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80F737A" w14:textId="77777777" w:rsidR="00725DD8" w:rsidRDefault="00725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br w:type="page"/>
      </w:r>
    </w:p>
    <w:p w14:paraId="26DCEA0C" w14:textId="105AD7A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lastRenderedPageBreak/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486404CB" w:rsidR="00F27E52" w:rsidRDefault="00925270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9252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Гусейнов Максуд </w:t>
            </w:r>
            <w:proofErr w:type="spellStart"/>
            <w:r w:rsidRPr="009252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Мурадович</w:t>
            </w:r>
            <w:proofErr w:type="spellEnd"/>
            <w:r w:rsidRPr="009252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2527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054606348557, СНИЛС 192-504-057 57, 11.03.2002 г.р., место рождения - с. Комсомольское Кизилюртовский район Дагестан, адрес регистрации: Ставропольский край, р-н. Советский, г. Зеленокумск, ул. 60 лет Октября, д. 49</w:t>
            </w:r>
            <w:r w:rsidR="00C67BBD" w:rsidRPr="00C67BBD">
              <w:rPr>
                <w:sz w:val="24"/>
                <w:szCs w:val="24"/>
              </w:rPr>
              <w:t>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6D17F32B" w:rsidR="003628B2" w:rsidRPr="000775DC" w:rsidRDefault="0092527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925270">
              <w:rPr>
                <w:bCs/>
                <w:color w:val="000000"/>
                <w:sz w:val="24"/>
                <w:szCs w:val="24"/>
                <w:lang w:eastAsia="ru-RU"/>
              </w:rPr>
              <w:t xml:space="preserve">Гусейнов Максуд </w:t>
            </w:r>
            <w:proofErr w:type="spellStart"/>
            <w:r w:rsidRPr="00925270">
              <w:rPr>
                <w:bCs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925270">
              <w:rPr>
                <w:bCs/>
                <w:color w:val="000000"/>
                <w:sz w:val="24"/>
                <w:szCs w:val="24"/>
                <w:lang w:eastAsia="ru-RU"/>
              </w:rPr>
              <w:t xml:space="preserve"> ИНН 054606348557, ИНН Банка 4401116480, р/с 40817810350224009837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2C9A9A1C" w:rsidR="00DC029B" w:rsidRPr="0062290E" w:rsidRDefault="0092527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252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Гусейнов Максуд </w:t>
      </w:r>
      <w:proofErr w:type="spellStart"/>
      <w:r w:rsidRPr="00925270">
        <w:rPr>
          <w:b/>
          <w:color w:val="000000"/>
          <w:sz w:val="24"/>
          <w:szCs w:val="24"/>
          <w:shd w:val="clear" w:color="auto" w:fill="FFFFFF"/>
          <w:lang w:eastAsia="ru-RU"/>
        </w:rPr>
        <w:t>Мурадович</w:t>
      </w:r>
      <w:proofErr w:type="spellEnd"/>
      <w:r w:rsidRPr="00925270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25270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(ИНН 054606348557, СНИЛС 192-504-057 57, 11.03.2002 г.р., место рождения - с. Комсомольское Кизилюртовский район Дагестан, адрес регистрации: Ставропольский край, р-н. Советский, г. Зеленокумск, ул. 60 лет Октября, д. 49), в лице финансового управляющего Арсеньевой Оксаны Юрьевны, действующей на основании решения </w:t>
      </w:r>
      <w:r w:rsidRPr="00925270">
        <w:rPr>
          <w:bCs/>
          <w:sz w:val="24"/>
          <w:szCs w:val="24"/>
        </w:rPr>
        <w:t>Арбитражного суда Ставропольского края от 09.12.2025 г. по делу № А63-23577/2025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C67BBD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25270" w:rsidRPr="0062290E" w14:paraId="1D8853D1" w14:textId="77777777" w:rsidTr="0010350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68004F" w14:textId="77777777" w:rsidR="00925270" w:rsidRPr="00E32E1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0AE37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25270" w:rsidRPr="0062290E" w14:paraId="246320F0" w14:textId="77777777" w:rsidTr="0010350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4389E" w14:textId="77777777" w:rsidR="00925270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9252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Гусейнов Максуд </w:t>
            </w:r>
            <w:proofErr w:type="spellStart"/>
            <w:r w:rsidRPr="009252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Мурадович</w:t>
            </w:r>
            <w:proofErr w:type="spellEnd"/>
            <w:r w:rsidRPr="0092527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25270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054606348557, СНИЛС 192-504-057 57, 11.03.2002 г.р., место рождения - с. Комсомольское Кизилюртовский район Дагестан, адрес регистрации: Ставропольский край, р-н. Советский, г. Зеленокумск, ул. 60 лет Октября, д. 49</w:t>
            </w:r>
            <w:r w:rsidRPr="00C67BBD">
              <w:rPr>
                <w:sz w:val="24"/>
                <w:szCs w:val="24"/>
              </w:rPr>
              <w:t>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46FCC802" w14:textId="77777777" w:rsidR="00925270" w:rsidRPr="00F27E52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A91E0EC" w14:textId="77777777" w:rsidR="00925270" w:rsidRPr="000775DC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925270">
              <w:rPr>
                <w:bCs/>
                <w:color w:val="000000"/>
                <w:sz w:val="24"/>
                <w:szCs w:val="24"/>
                <w:lang w:eastAsia="ru-RU"/>
              </w:rPr>
              <w:t xml:space="preserve">Гусейнов Максуд </w:t>
            </w:r>
            <w:proofErr w:type="spellStart"/>
            <w:r w:rsidRPr="00925270">
              <w:rPr>
                <w:bCs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925270">
              <w:rPr>
                <w:bCs/>
                <w:color w:val="000000"/>
                <w:sz w:val="24"/>
                <w:szCs w:val="24"/>
                <w:lang w:eastAsia="ru-RU"/>
              </w:rPr>
              <w:t xml:space="preserve"> ИНН 054606348557, ИНН Банка 4401116480, р/с 40817810350224009837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EA2A9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25270" w:rsidRPr="0062290E" w14:paraId="701E136A" w14:textId="77777777" w:rsidTr="0010350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34E43" w14:textId="77777777" w:rsidR="00925270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60E2739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8038919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AF8AA7" w14:textId="77777777" w:rsidR="00925270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B670B32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577E6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7757A6A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E5EF66" w14:textId="77777777" w:rsidR="00925270" w:rsidRPr="0062290E" w:rsidRDefault="00925270" w:rsidP="00103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FD37" w14:textId="77777777" w:rsidR="00B52072" w:rsidRDefault="00B52072">
      <w:r>
        <w:separator/>
      </w:r>
    </w:p>
  </w:endnote>
  <w:endnote w:type="continuationSeparator" w:id="0">
    <w:p w14:paraId="7A4FE245" w14:textId="77777777" w:rsidR="00B52072" w:rsidRDefault="00B5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27E4" w14:textId="77777777" w:rsidR="00B52072" w:rsidRDefault="00B52072">
      <w:r>
        <w:separator/>
      </w:r>
    </w:p>
  </w:footnote>
  <w:footnote w:type="continuationSeparator" w:id="0">
    <w:p w14:paraId="609F10E1" w14:textId="77777777" w:rsidR="00B52072" w:rsidRDefault="00B52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775DC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27C7B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229F"/>
    <w:rsid w:val="00725DD8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25270"/>
    <w:rsid w:val="00932B2A"/>
    <w:rsid w:val="0099031D"/>
    <w:rsid w:val="009B63DF"/>
    <w:rsid w:val="009F498D"/>
    <w:rsid w:val="00A41629"/>
    <w:rsid w:val="00A73D13"/>
    <w:rsid w:val="00B01009"/>
    <w:rsid w:val="00B07D11"/>
    <w:rsid w:val="00B44921"/>
    <w:rsid w:val="00B52072"/>
    <w:rsid w:val="00BC245D"/>
    <w:rsid w:val="00BC4E0A"/>
    <w:rsid w:val="00C66A35"/>
    <w:rsid w:val="00C67BBD"/>
    <w:rsid w:val="00C83846"/>
    <w:rsid w:val="00D01A2F"/>
    <w:rsid w:val="00D86CED"/>
    <w:rsid w:val="00DB14F7"/>
    <w:rsid w:val="00DC029B"/>
    <w:rsid w:val="00DC3AC9"/>
    <w:rsid w:val="00DD6C32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42</cp:revision>
  <dcterms:created xsi:type="dcterms:W3CDTF">2023-02-03T23:37:00Z</dcterms:created>
  <dcterms:modified xsi:type="dcterms:W3CDTF">2026-07-01T18:42:00Z</dcterms:modified>
</cp:coreProperties>
</file>