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ДОГОВОР ЗАДАТКА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b/>
          <w:color w:val="000000" w:themeColor="text1"/>
          <w:spacing w:val="-7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«____» ___________2</w:t>
      </w:r>
      <w:r>
        <w:rPr>
          <w:rFonts w:ascii="Times New Roman" w:hAnsi="Times New Roman" w:cs="Times New Roman"/>
          <w:b/>
          <w:color w:val="000000" w:themeColor="text1"/>
          <w:spacing w:val="-7"/>
          <w:sz w:val="22"/>
          <w:szCs w:val="22"/>
        </w:rPr>
        <w:t xml:space="preserve">0___ г.</w:t>
      </w:r>
      <w:r>
        <w:rPr>
          <w:rFonts w:ascii="Times New Roman" w:hAnsi="Times New Roman" w:cs="Times New Roman"/>
          <w:b/>
          <w:color w:val="000000" w:themeColor="text1"/>
          <w:spacing w:val="-7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pacing w:val="-7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pacing w:val="12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12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pacing w:val="12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pacing w:val="12"/>
          <w:sz w:val="22"/>
          <w:szCs w:val="22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Финансовый управляющий </w:t>
      </w:r>
      <w:r>
        <w:rPr>
          <w:rStyle w:val="880"/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Достановой Татьяны Александровны</w:t>
      </w:r>
      <w:r>
        <w:rPr>
          <w:rStyle w:val="880"/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Дараган Ольга Валерьевна, действующий на основани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 Р</w:t>
      </w:r>
      <w:r>
        <w:rPr>
          <w:rFonts w:ascii="Times New Roman" w:hAnsi="Times New Roman" w:cs="Times New Roman"/>
          <w:sz w:val="22"/>
          <w:szCs w:val="22"/>
        </w:rPr>
        <w:t xml:space="preserve">ешения Арбитражного суда Оренбургской области </w:t>
      </w:r>
      <w:r>
        <w:rPr>
          <w:rStyle w:val="880"/>
          <w:rFonts w:ascii="Times New Roman" w:hAnsi="Times New Roman" w:cs="Times New Roman"/>
          <w:i w:val="0"/>
          <w:iCs w:val="0"/>
          <w:sz w:val="22"/>
          <w:szCs w:val="22"/>
        </w:rPr>
        <w:t xml:space="preserve">от 27.11.2024 (резолютивная часть объявлена 26.11.2024) по делу № А47-18846/2024</w:t>
      </w:r>
      <w:r>
        <w:rPr>
          <w:i/>
          <w:iCs/>
          <w:color w:val="000000" w:themeColor="text1"/>
          <w:sz w:val="22"/>
          <w:szCs w:val="22"/>
        </w:rPr>
        <w:t xml:space="preserve">,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именуемый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дальнейшем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«Продавец»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с одной стороны, и 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____________________________________________ в лице _______________________________, действующий на основании ________________________, именуемый (-ая) в дальнейшем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«Претендент»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с другой стороны, заключили настоящее соглашение о нижеследующем: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1. Предмет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соглашения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посредством публичного предложения по продаже имущества </w:t>
      </w:r>
      <w:r>
        <w:rPr>
          <w:rStyle w:val="880"/>
          <w:rFonts w:ascii="Times New Roman" w:hAnsi="Times New Roman" w:cs="Times New Roman"/>
          <w:i w:val="0"/>
          <w:iCs w:val="0"/>
          <w:sz w:val="22"/>
          <w:szCs w:val="22"/>
        </w:rPr>
        <w:t xml:space="preserve">Достановой Татьяны Александровны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перечисляет денежные средства в размере 10 % от начальной цены Лота № 1, уст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ановленной для соответствующего периода проведения торгов посредством публичного предложения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по продаже имущества Должника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далее – «Задаток», а «Продавец» принимает Задаток.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1.2. Задаток вносится в качестве меры по обеспечению исполнения Претендентом сле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дующих обязательств, которые могут возникнуть в случае признания его победителем торгов по продаже имущества: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– по подписанию с финансовым управляющим </w:t>
      </w:r>
      <w:r>
        <w:rPr>
          <w:rStyle w:val="880"/>
          <w:rFonts w:ascii="Times New Roman" w:hAnsi="Times New Roman" w:cs="Times New Roman"/>
          <w:i w:val="0"/>
          <w:iCs w:val="0"/>
          <w:sz w:val="22"/>
          <w:szCs w:val="22"/>
        </w:rPr>
        <w:t xml:space="preserve">Достановой Татьяны Александровны</w:t>
      </w:r>
      <w:r>
        <w:rPr>
          <w:rStyle w:val="88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договора купли-продажи предмета торгов в течение 5 (пяти) дней с даты получения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победителем торгов соответствующего предложения заключить договор купли-продажи имущества с приложением указанного договора;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– по оплате в полном объеме стоимости имущества, определенной по итогам торгов, в течение тридцати дней с даты заключения договора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купли-продажи.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Style w:val="864"/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http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s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://nistp.ru.</w:t>
      </w:r>
      <w:r>
        <w:rPr>
          <w:rStyle w:val="864"/>
          <w:rFonts w:ascii="Times New Roman" w:hAnsi="Times New Roman"/>
          <w:b/>
          <w:bCs/>
          <w:color w:val="000000" w:themeColor="text1"/>
          <w:sz w:val="22"/>
          <w:szCs w:val="22"/>
        </w:rPr>
      </w:r>
      <w:r>
        <w:rPr>
          <w:rStyle w:val="864"/>
          <w:rFonts w:ascii="Times New Roman" w:hAnsi="Times New Roman"/>
          <w:b/>
          <w:bCs/>
          <w:color w:val="000000" w:themeColor="text1"/>
          <w:sz w:val="22"/>
          <w:szCs w:val="22"/>
        </w:rPr>
      </w:r>
    </w:p>
    <w:p>
      <w:pPr>
        <w:pStyle w:val="878"/>
        <w:jc w:val="both"/>
        <w:rPr>
          <w:rStyle w:val="864"/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Единого федерального реестра сведений о банкротстве и http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://nistp.ru.</w:t>
      </w:r>
      <w:r>
        <w:rPr>
          <w:rStyle w:val="864"/>
          <w:rFonts w:ascii="Times New Roman" w:hAnsi="Times New Roman"/>
          <w:color w:val="000000" w:themeColor="text1"/>
          <w:sz w:val="22"/>
          <w:szCs w:val="22"/>
        </w:rPr>
      </w:r>
      <w:r>
        <w:rPr>
          <w:rStyle w:val="864"/>
          <w:rFonts w:ascii="Times New Roman" w:hAnsi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1.5. Подписанием настоящего соглашения Претендент подтверждает, что ему известно о том, что торги по продаже имущества </w:t>
      </w:r>
      <w:r>
        <w:rPr>
          <w:rStyle w:val="880"/>
          <w:rFonts w:ascii="Times New Roman" w:hAnsi="Times New Roman" w:cs="Times New Roman"/>
          <w:i w:val="0"/>
          <w:iCs w:val="0"/>
          <w:sz w:val="22"/>
          <w:szCs w:val="22"/>
        </w:rPr>
        <w:t xml:space="preserve">Достановой Татьяны Александровны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проходят в электронной форме на электро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нной торговой площадке http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://nistp.ru, а также о том, что ему известно о времени и порядке приема заявок на участие в торгах, месте, времени и порядке проведения торгов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</w:t>
      </w:r>
      <w:bookmarkStart w:id="0" w:name="_GoBack"/>
      <w:r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подведении итогов торгов.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1.6. В случае неисполнения (ненадлежащего исполнения) П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ретендентом обязательств, указанных в п. 1.2 настоящего соглашения сумма задатка Претенденту не возвращается, и подлежит включению в конкурсную массу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Style w:val="880"/>
          <w:rFonts w:ascii="Times New Roman" w:hAnsi="Times New Roman" w:cs="Times New Roman"/>
          <w:i w:val="0"/>
          <w:iCs w:val="0"/>
          <w:sz w:val="22"/>
          <w:szCs w:val="22"/>
        </w:rPr>
        <w:t xml:space="preserve">Достановой Татьяны Александровны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7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2. Порядок внесения задатка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2.1. Задаток должен быть зачислен Претендентом на р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асчетный счет Продавца в течении трех рабочих дней с момента заключения настоящего соглашения, но не позднее срока окончания приема заявок на соответствующем периоде проведения торгов посредством публичного предложения: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Валюта Российский рубль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>
        <w:rPr>
          <w:rStyle w:val="88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Филиал «Центральный» ПАО «Совкомбанк» (г. Бердск)</w:t>
      </w:r>
      <w:r>
        <w:rPr>
          <w:rStyle w:val="88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 xml:space="preserve">к/с 30101810150040000763</w:t>
      </w:r>
      <w:r>
        <w:rPr>
          <w:rStyle w:val="88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 xml:space="preserve">БИК 045004763</w:t>
      </w:r>
      <w:r>
        <w:rPr>
          <w:rStyle w:val="88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 xml:space="preserve">ИНН банка 4401116480</w:t>
      </w:r>
      <w:r>
        <w:rPr>
          <w:rStyle w:val="88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 xml:space="preserve">Р/с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40817810450222466644</w:t>
      </w:r>
      <w:r>
        <w:rPr>
          <w:rStyle w:val="88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 xml:space="preserve">Получатель: </w:t>
      </w:r>
      <w:r>
        <w:rPr>
          <w:rStyle w:val="880"/>
          <w:rFonts w:ascii="Times New Roman" w:hAnsi="Times New Roman" w:cs="Times New Roman"/>
          <w:i w:val="0"/>
          <w:iCs w:val="0"/>
          <w:sz w:val="22"/>
          <w:szCs w:val="22"/>
        </w:rPr>
        <w:t xml:space="preserve">Достанова Татьяна Александровна</w:t>
      </w:r>
      <w:r>
        <w:rPr>
          <w:rStyle w:val="88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 xml:space="preserve">Назначение платежа: задаток за участие в торгах по Лоту 1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2.2. Задаток считается вн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ется.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2.3. Риски несвоевременного исполнения банками платежных документов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 зачисления денежных средств несет Претендент.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3. Порядок возврата и удержания задатка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Претендент не допущен к участию в торгах;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– Претендент участвовал в торгах, но не выиграл их;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– Претендент отозвал свою заявку на участие в торгах до даты и времени окончания приема заявок на соответствующем периоде проведения торгов посредством публичног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предложения;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– торги признаны несостоявшимися не по вине Претендента;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– торги отменены не по вине Претендента.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3.2. Продавец не возвращает задаток Претенденту в случае отказа или уклонения Претендента, признанного победителем торгов (так же и в том слу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чае, когда Претендент был единственным участником торгов), от подписания договора купли-продажи имущества </w:t>
      </w:r>
      <w:r>
        <w:rPr>
          <w:rStyle w:val="880"/>
          <w:rFonts w:ascii="Times New Roman" w:hAnsi="Times New Roman" w:cs="Times New Roman"/>
          <w:i w:val="0"/>
          <w:iCs w:val="0"/>
          <w:sz w:val="22"/>
          <w:szCs w:val="22"/>
        </w:rPr>
        <w:t xml:space="preserve">Достановой Татьяны Александровны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установленный срок.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3.3. В случае, если Претендент отозвал свою заявку на участие в торгах в срок после окончания приема за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явок, задаток Претенденту не возвращается до даты проведения торгов и подписания протокола о результатах проведения торгов.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3.4. Внесенный Претендентом, признанным победителем торгов, задаток засчитывается в счет оплаты Предмета торгов при подписании дого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вора купли-продажи имущества</w:t>
      </w:r>
      <w:r>
        <w:rPr>
          <w:color w:val="000000" w:themeColor="text1"/>
        </w:rPr>
        <w:t xml:space="preserve"> </w:t>
      </w:r>
      <w:r>
        <w:rPr>
          <w:rStyle w:val="880"/>
          <w:rFonts w:ascii="Times New Roman" w:hAnsi="Times New Roman" w:cs="Times New Roman"/>
          <w:i w:val="0"/>
          <w:iCs w:val="0"/>
          <w:sz w:val="22"/>
          <w:szCs w:val="22"/>
        </w:rPr>
        <w:t xml:space="preserve">Достановой Татьяны Александровны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center"/>
        <w:rPr>
          <w:rFonts w:ascii="Times New Roman" w:hAnsi="Times New Roman" w:cs="Times New Roman"/>
          <w:b/>
          <w:color w:val="000000" w:themeColor="text1"/>
          <w:spacing w:val="-1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pacing w:val="-11"/>
          <w:sz w:val="22"/>
          <w:szCs w:val="22"/>
        </w:rPr>
        <w:t xml:space="preserve">4.  Срок действия договора</w:t>
      </w:r>
      <w:r>
        <w:rPr>
          <w:rFonts w:ascii="Times New Roman" w:hAnsi="Times New Roman" w:cs="Times New Roman"/>
          <w:b/>
          <w:color w:val="000000" w:themeColor="text1"/>
          <w:spacing w:val="-1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pacing w:val="-1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-11"/>
          <w:sz w:val="22"/>
          <w:szCs w:val="22"/>
        </w:rPr>
        <w:tab/>
        <w:t xml:space="preserve">4</w:t>
      </w:r>
      <w:r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  <w:t xml:space="preserve">.1. Настоящий договор вступает в силу со дня его подписания сторонами.</w:t>
      </w:r>
      <w:r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pacing w:val="4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  <w:tab/>
        <w:t xml:space="preserve">4.2. Отношения между сторонами по настоящему договору прекращаются после и</w:t>
      </w:r>
      <w:r>
        <w:rPr>
          <w:rFonts w:ascii="Times New Roman" w:hAnsi="Times New Roman" w:cs="Times New Roman"/>
          <w:color w:val="000000" w:themeColor="text1"/>
          <w:spacing w:val="4"/>
          <w:sz w:val="22"/>
          <w:szCs w:val="22"/>
        </w:rPr>
        <w:t xml:space="preserve">сполнения ими всех условий настоящего Договора.</w:t>
      </w:r>
      <w:r>
        <w:rPr>
          <w:rFonts w:ascii="Times New Roman" w:hAnsi="Times New Roman" w:cs="Times New Roman"/>
          <w:color w:val="000000" w:themeColor="text1"/>
          <w:spacing w:val="4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pacing w:val="4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</w:r>
    </w:p>
    <w:p>
      <w:pPr>
        <w:pStyle w:val="878"/>
        <w:jc w:val="center"/>
        <w:rPr>
          <w:rFonts w:ascii="Times New Roman" w:hAnsi="Times New Roman" w:cs="Times New Roman"/>
          <w:b/>
          <w:color w:val="000000" w:themeColor="text1"/>
          <w:spacing w:val="13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pacing w:val="13"/>
          <w:sz w:val="22"/>
          <w:szCs w:val="22"/>
        </w:rPr>
        <w:t xml:space="preserve">5. Заключительные положения</w:t>
      </w:r>
      <w:r>
        <w:rPr>
          <w:rFonts w:ascii="Times New Roman" w:hAnsi="Times New Roman" w:cs="Times New Roman"/>
          <w:b/>
          <w:color w:val="000000" w:themeColor="text1"/>
          <w:spacing w:val="13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pacing w:val="13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5.1. Споры, возникающие при исполнении настоящего договора, разрешаются </w:t>
      </w: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сторонами путем переговоров между собой. П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ри недостижении согласия споры и разногласия подлежат рассмотрению в Арбитражном суде Оренбургской области.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5.2. Отношения сторон, не урегулированные настоящим договором, регулируются действующим законодательством РФ.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78"/>
        <w:jc w:val="center"/>
        <w:rPr>
          <w:rFonts w:ascii="Times New Roman" w:hAnsi="Times New Roman" w:cs="Times New Roman"/>
          <w:b/>
          <w:color w:val="000000" w:themeColor="text1"/>
          <w:spacing w:val="1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pacing w:val="11"/>
          <w:sz w:val="22"/>
          <w:szCs w:val="22"/>
        </w:rPr>
        <w:t xml:space="preserve">6. Адреса и реквизиты Сторон.</w:t>
      </w:r>
      <w:r>
        <w:rPr>
          <w:rFonts w:ascii="Times New Roman" w:hAnsi="Times New Roman" w:cs="Times New Roman"/>
          <w:b/>
          <w:color w:val="000000" w:themeColor="text1"/>
          <w:spacing w:val="1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pacing w:val="11"/>
          <w:sz w:val="22"/>
          <w:szCs w:val="22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>
        <w:tblPrEx/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4960" w:type="dxa"/>
            <w:textDirection w:val="lrTb"/>
            <w:noWrap w:val="false"/>
          </w:tcPr>
          <w:p>
            <w:pPr>
              <w:pStyle w:val="87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Продав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ец: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983" w:type="dxa"/>
            <w:textDirection w:val="lrTb"/>
            <w:noWrap w:val="false"/>
          </w:tcPr>
          <w:p>
            <w:pPr>
              <w:pStyle w:val="87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Претендент: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4960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  <w:t xml:space="preserve">Финансовый управляющий</w:t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880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Style w:val="880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Достановой Татьяны Александровны</w:t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  <w:t xml:space="preserve">Дараган Ольга Валерьевна</w:t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Валюта Российский рубль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/>
            <w:bookmarkStart w:id="1" w:name="_Hlk216074775"/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Филиал «Центральный» ПАО «Совкомбанк»</w:t>
            </w:r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(г. Бердск)</w:t>
            </w:r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  <w:t xml:space="preserve">к/с 30101810150040000763</w:t>
            </w:r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  <w:t xml:space="preserve">БИК 045004763</w:t>
            </w:r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  <w:t xml:space="preserve">ИНН банка 4401116480</w:t>
            </w:r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  <w:t xml:space="preserve">Р/с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40817810450222466644</w:t>
            </w:r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  <w:t xml:space="preserve">Получатель: </w:t>
            </w:r>
            <w:r>
              <w:rPr>
                <w:rStyle w:val="880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Достанова Татьяна Александровна</w:t>
            </w:r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</w:r>
            <w:bookmarkEnd w:id="1"/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Style w:val="88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__________________ / Дараган О.В. /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   м.п.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983" w:type="dxa"/>
            <w:textDirection w:val="lrTb"/>
            <w:noWrap w:val="false"/>
          </w:tcPr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__________________ / ____________ 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878"/>
        <w:jc w:val="both"/>
      </w:pPr>
      <w:r/>
      <w:r/>
    </w:p>
    <w:sectPr>
      <w:footnotePr/>
      <w:endnotePr/>
      <w:type w:val="nextPage"/>
      <w:pgSz w:w="11906" w:h="16838" w:orient="portrait"/>
      <w:pgMar w:top="851" w:right="567" w:bottom="851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865"/>
    <w:uiPriority w:val="10"/>
    <w:rPr>
      <w:sz w:val="48"/>
      <w:szCs w:val="48"/>
    </w:rPr>
  </w:style>
  <w:style w:type="character" w:styleId="664">
    <w:name w:val="Subtitle Char"/>
    <w:basedOn w:val="682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Header Char"/>
    <w:basedOn w:val="682"/>
    <w:link w:val="702"/>
    <w:uiPriority w:val="99"/>
  </w:style>
  <w:style w:type="character" w:styleId="668">
    <w:name w:val="Footer Char"/>
    <w:basedOn w:val="682"/>
    <w:link w:val="704"/>
    <w:uiPriority w:val="99"/>
  </w:style>
  <w:style w:type="character" w:styleId="669">
    <w:name w:val="Caption Char"/>
    <w:basedOn w:val="682"/>
    <w:link w:val="706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4"/>
    <w:uiPriority w:val="99"/>
    <w:rPr>
      <w:sz w:val="18"/>
    </w:rPr>
  </w:style>
  <w:style w:type="character" w:styleId="671">
    <w:name w:val="Endnote Text Char"/>
    <w:link w:val="837"/>
    <w:uiPriority w:val="99"/>
    <w:rPr>
      <w:sz w:val="20"/>
    </w:rPr>
  </w:style>
  <w:style w:type="paragraph" w:styleId="672" w:default="1">
    <w:name w:val="Normal"/>
    <w:qFormat/>
    <w:pPr>
      <w:widowControl w:val="off"/>
    </w:pPr>
    <w:rPr>
      <w:rFonts w:ascii="Arial" w:hAnsi="Arial" w:cs="Arial"/>
      <w:lang w:eastAsia="ar-SA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character" w:styleId="695" w:customStyle="1">
    <w:name w:val="Заголовок Знак"/>
    <w:basedOn w:val="682"/>
    <w:link w:val="865"/>
    <w:uiPriority w:val="10"/>
    <w:rPr>
      <w:sz w:val="48"/>
      <w:szCs w:val="48"/>
    </w:rPr>
  </w:style>
  <w:style w:type="paragraph" w:styleId="696">
    <w:name w:val="Subtitle"/>
    <w:basedOn w:val="672"/>
    <w:next w:val="67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 w:customStyle="1">
    <w:name w:val="Подзаголовок Знак"/>
    <w:basedOn w:val="682"/>
    <w:link w:val="696"/>
    <w:uiPriority w:val="11"/>
    <w:rPr>
      <w:sz w:val="24"/>
      <w:szCs w:val="24"/>
    </w:rPr>
  </w:style>
  <w:style w:type="paragraph" w:styleId="698">
    <w:name w:val="Quote"/>
    <w:basedOn w:val="672"/>
    <w:next w:val="672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2"/>
    <w:next w:val="672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2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82"/>
    <w:link w:val="702"/>
    <w:uiPriority w:val="99"/>
  </w:style>
  <w:style w:type="paragraph" w:styleId="704">
    <w:name w:val="Footer"/>
    <w:basedOn w:val="672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82"/>
    <w:link w:val="704"/>
    <w:uiPriority w:val="99"/>
  </w:style>
  <w:style w:type="paragraph" w:styleId="706">
    <w:name w:val="Caption"/>
    <w:basedOn w:val="672"/>
    <w:next w:val="672"/>
    <w:link w:val="70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7" w:customStyle="1">
    <w:name w:val="Название объекта Знак"/>
    <w:basedOn w:val="682"/>
    <w:link w:val="706"/>
    <w:uiPriority w:val="35"/>
    <w:rPr>
      <w:b/>
      <w:bCs/>
      <w:color w:val="4472c4" w:themeColor="accent1"/>
      <w:sz w:val="18"/>
      <w:szCs w:val="18"/>
    </w:rPr>
  </w:style>
  <w:style w:type="table" w:styleId="708">
    <w:name w:val="Table Grid"/>
    <w:basedOn w:val="6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3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8" w:customStyle="1">
    <w:name w:val="Grid Table 4 - Accent 2"/>
    <w:basedOn w:val="68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3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2" w:customStyle="1">
    <w:name w:val="Grid Table 4 - Accent 6"/>
    <w:basedOn w:val="68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3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2" w:customStyle="1">
    <w:name w:val="Grid Table 6 Colorful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3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6" w:customStyle="1">
    <w:name w:val="Grid Table 6 Colorful - Accent 6"/>
    <w:basedOn w:val="68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>
    <w:name w:val="Grid Table 7 Colorful"/>
    <w:basedOn w:val="6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83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8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8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8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83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8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8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3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3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3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3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3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3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3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3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3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3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3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1" w:customStyle="1">
    <w:name w:val="List Table 6 Colorful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3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5" w:customStyle="1">
    <w:name w:val="List Table 6 Colorful - Accent 6"/>
    <w:basedOn w:val="68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83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8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8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8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83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8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83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3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5" w:customStyle="1">
    <w:name w:val="Lined - Accent 2"/>
    <w:basedOn w:val="683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3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3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3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9" w:customStyle="1">
    <w:name w:val="Lined - Accent 6"/>
    <w:basedOn w:val="683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3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3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2" w:customStyle="1">
    <w:name w:val="Bordered &amp; Lined - Accent 2"/>
    <w:basedOn w:val="683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3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3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3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6" w:customStyle="1">
    <w:name w:val="Bordered &amp; Lined - Accent 6"/>
    <w:basedOn w:val="683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9" w:customStyle="1">
    <w:name w:val="Bordered - Accent 2"/>
    <w:basedOn w:val="6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3" w:customStyle="1">
    <w:name w:val="Bordered - Accent 6"/>
    <w:basedOn w:val="6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4">
    <w:name w:val="footnote text"/>
    <w:basedOn w:val="672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82"/>
    <w:uiPriority w:val="99"/>
    <w:unhideWhenUsed/>
    <w:rPr>
      <w:vertAlign w:val="superscript"/>
    </w:rPr>
  </w:style>
  <w:style w:type="paragraph" w:styleId="837">
    <w:name w:val="endnote text"/>
    <w:basedOn w:val="672"/>
    <w:link w:val="838"/>
    <w:uiPriority w:val="99"/>
    <w:semiHidden/>
    <w:unhideWhenUsed/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82"/>
    <w:uiPriority w:val="99"/>
    <w:semiHidden/>
    <w:unhideWhenUsed/>
    <w:rPr>
      <w:vertAlign w:val="superscript"/>
    </w:rPr>
  </w:style>
  <w:style w:type="paragraph" w:styleId="840">
    <w:name w:val="toc 1"/>
    <w:basedOn w:val="672"/>
    <w:next w:val="672"/>
    <w:uiPriority w:val="39"/>
    <w:unhideWhenUsed/>
    <w:pPr>
      <w:spacing w:after="57"/>
    </w:pPr>
  </w:style>
  <w:style w:type="paragraph" w:styleId="841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2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3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4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5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6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7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8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2"/>
    <w:next w:val="672"/>
    <w:uiPriority w:val="99"/>
    <w:unhideWhenUsed/>
  </w:style>
  <w:style w:type="character" w:styleId="851" w:customStyle="1">
    <w:name w:val="Основной шрифт абзаца4"/>
  </w:style>
  <w:style w:type="character" w:styleId="852" w:customStyle="1">
    <w:name w:val="Absatz-Standardschriftart"/>
  </w:style>
  <w:style w:type="character" w:styleId="853" w:customStyle="1">
    <w:name w:val="WW-Absatz-Standardschriftart"/>
  </w:style>
  <w:style w:type="character" w:styleId="854" w:customStyle="1">
    <w:name w:val="WW-Absatz-Standardschriftart1"/>
  </w:style>
  <w:style w:type="character" w:styleId="855" w:customStyle="1">
    <w:name w:val="WW-Absatz-Standardschriftart11"/>
  </w:style>
  <w:style w:type="character" w:styleId="856" w:customStyle="1">
    <w:name w:val="WW-Absatz-Standardschriftart111"/>
  </w:style>
  <w:style w:type="character" w:styleId="857" w:customStyle="1">
    <w:name w:val="WW-Absatz-Standardschriftart1111"/>
  </w:style>
  <w:style w:type="character" w:styleId="858" w:customStyle="1">
    <w:name w:val="Основной шрифт абзаца3"/>
  </w:style>
  <w:style w:type="character" w:styleId="859" w:customStyle="1">
    <w:name w:val="WW8Num1z0"/>
    <w:rPr>
      <w:rFonts w:ascii="Symbol" w:hAnsi="Symbol"/>
    </w:rPr>
  </w:style>
  <w:style w:type="character" w:styleId="860" w:customStyle="1">
    <w:name w:val="Основной шрифт абзаца2"/>
  </w:style>
  <w:style w:type="character" w:styleId="861" w:customStyle="1">
    <w:name w:val="WW-Absatz-Standardschriftart11111"/>
  </w:style>
  <w:style w:type="character" w:styleId="862" w:customStyle="1">
    <w:name w:val="WW-Absatz-Standardschriftart111111"/>
  </w:style>
  <w:style w:type="character" w:styleId="863" w:customStyle="1">
    <w:name w:val="Основной шрифт абзаца1"/>
  </w:style>
  <w:style w:type="character" w:styleId="864">
    <w:name w:val="Hyperlink"/>
    <w:rPr>
      <w:rFonts w:cs="Times New Roman"/>
      <w:color w:val="0000ff"/>
      <w:u w:val="single"/>
    </w:rPr>
  </w:style>
  <w:style w:type="paragraph" w:styleId="865">
    <w:name w:val="Title"/>
    <w:basedOn w:val="672"/>
    <w:next w:val="866"/>
    <w:link w:val="69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866">
    <w:name w:val="Body Text"/>
    <w:basedOn w:val="672"/>
    <w:pPr>
      <w:spacing w:after="120"/>
    </w:pPr>
  </w:style>
  <w:style w:type="paragraph" w:styleId="867">
    <w:name w:val="List"/>
    <w:basedOn w:val="866"/>
    <w:rPr>
      <w:rFonts w:cs="Mangal"/>
    </w:rPr>
  </w:style>
  <w:style w:type="paragraph" w:styleId="868" w:customStyle="1">
    <w:name w:val="Название4"/>
    <w:basedOn w:val="67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9" w:customStyle="1">
    <w:name w:val="Указатель4"/>
    <w:basedOn w:val="672"/>
    <w:pPr>
      <w:suppressLineNumbers/>
    </w:pPr>
    <w:rPr>
      <w:rFonts w:cs="Mangal"/>
    </w:rPr>
  </w:style>
  <w:style w:type="paragraph" w:styleId="870" w:customStyle="1">
    <w:name w:val="Название3"/>
    <w:basedOn w:val="67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71" w:customStyle="1">
    <w:name w:val="Указатель3"/>
    <w:basedOn w:val="672"/>
    <w:pPr>
      <w:suppressLineNumbers/>
    </w:pPr>
    <w:rPr>
      <w:rFonts w:cs="Mangal"/>
    </w:rPr>
  </w:style>
  <w:style w:type="paragraph" w:styleId="872" w:customStyle="1">
    <w:name w:val="Название2"/>
    <w:basedOn w:val="67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73" w:customStyle="1">
    <w:name w:val="Указатель2"/>
    <w:basedOn w:val="672"/>
    <w:pPr>
      <w:suppressLineNumbers/>
    </w:pPr>
    <w:rPr>
      <w:rFonts w:cs="Mangal"/>
    </w:rPr>
  </w:style>
  <w:style w:type="paragraph" w:styleId="874" w:customStyle="1">
    <w:name w:val="Название1"/>
    <w:basedOn w:val="67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75" w:customStyle="1">
    <w:name w:val="Указатель1"/>
    <w:basedOn w:val="672"/>
    <w:pPr>
      <w:suppressLineNumbers/>
    </w:pPr>
    <w:rPr>
      <w:rFonts w:cs="Mangal"/>
    </w:rPr>
  </w:style>
  <w:style w:type="paragraph" w:styleId="876" w:customStyle="1">
    <w:name w:val="Содержимое таблицы"/>
    <w:basedOn w:val="672"/>
    <w:pPr>
      <w:suppressLineNumbers/>
    </w:pPr>
  </w:style>
  <w:style w:type="paragraph" w:styleId="877" w:customStyle="1">
    <w:name w:val="Заголовок таблицы"/>
    <w:basedOn w:val="876"/>
    <w:pPr>
      <w:jc w:val="center"/>
    </w:pPr>
    <w:rPr>
      <w:b/>
      <w:bCs/>
    </w:rPr>
  </w:style>
  <w:style w:type="paragraph" w:styleId="878">
    <w:name w:val="No Spacing"/>
    <w:qFormat/>
    <w:pPr>
      <w:widowControl w:val="off"/>
    </w:pPr>
    <w:rPr>
      <w:rFonts w:ascii="Arial" w:hAnsi="Arial" w:eastAsia="Arial" w:cs="Arial"/>
      <w:lang w:eastAsia="ar-SA"/>
    </w:rPr>
  </w:style>
  <w:style w:type="paragraph" w:styleId="879" w:customStyle="1">
    <w:name w:val="Обычный (веб)"/>
    <w:basedOn w:val="672"/>
    <w:pPr>
      <w:spacing w:before="240" w:after="240"/>
    </w:pPr>
  </w:style>
  <w:style w:type="character" w:styleId="880">
    <w:name w:val="Emphasis"/>
    <w:basedOn w:val="68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Ольга Дараган</cp:lastModifiedBy>
  <cp:revision>9</cp:revision>
  <dcterms:created xsi:type="dcterms:W3CDTF">2026-03-27T11:13:00Z</dcterms:created>
  <dcterms:modified xsi:type="dcterms:W3CDTF">2026-06-22T11:35:23Z</dcterms:modified>
</cp:coreProperties>
</file>