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9837D1">
        <w:rPr>
          <w:rFonts w:ascii="Times New Roman" w:hAnsi="Times New Roman" w:cs="Times New Roman"/>
          <w:sz w:val="24"/>
          <w:szCs w:val="24"/>
        </w:rPr>
        <w:t>2</w:t>
      </w:r>
      <w:r w:rsidR="00F8582D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</w:t>
      </w:r>
      <w:r w:rsidR="0045137C" w:rsidRPr="0045137C">
        <w:rPr>
          <w:rFonts w:ascii="Times New Roman" w:eastAsia="Times New Roman" w:hAnsi="Times New Roman" w:cs="Times New Roman"/>
          <w:sz w:val="24"/>
          <w:szCs w:val="24"/>
          <w:u w:val="single"/>
        </w:rPr>
        <w:t>ФИЛИАЛ "ЦЕНТРАЛЬНЫЙ" ПАО "СОВКОМБАНК"</w:t>
      </w: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БИК – </w:t>
      </w:r>
      <w:r w:rsidR="0045137C" w:rsidRPr="0045137C">
        <w:rPr>
          <w:rFonts w:ascii="Times New Roman" w:eastAsia="Times New Roman" w:hAnsi="Times New Roman" w:cs="Times New Roman"/>
          <w:sz w:val="24"/>
          <w:szCs w:val="24"/>
          <w:u w:val="single"/>
        </w:rPr>
        <w:t>045004763</w:t>
      </w: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корреспондентский счёт – </w:t>
      </w:r>
      <w:r w:rsidR="0045137C">
        <w:rPr>
          <w:rFonts w:ascii="Times New Roman" w:eastAsia="Times New Roman" w:hAnsi="Times New Roman" w:cs="Times New Roman"/>
          <w:sz w:val="24"/>
          <w:szCs w:val="24"/>
          <w:u w:val="single"/>
        </w:rPr>
        <w:t>30101810150040000763</w:t>
      </w: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Расчётный счёт Получателя платежа в Банке Получателя платежа – </w:t>
      </w:r>
      <w:r w:rsidR="002654F8" w:rsidRPr="002654F8">
        <w:rPr>
          <w:rFonts w:ascii="Times New Roman" w:eastAsia="Times New Roman" w:hAnsi="Times New Roman" w:cs="Times New Roman"/>
          <w:sz w:val="24"/>
          <w:szCs w:val="24"/>
          <w:u w:val="single"/>
        </w:rPr>
        <w:t>40817810050200652184</w:t>
      </w: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  <w:bookmarkStart w:id="0" w:name="_GoBack"/>
      <w:bookmarkEnd w:id="0"/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72" w:rsidRDefault="00923572">
      <w:r>
        <w:separator/>
      </w:r>
    </w:p>
  </w:endnote>
  <w:endnote w:type="continuationSeparator" w:id="0">
    <w:p w:rsidR="00923572" w:rsidRDefault="009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72" w:rsidRDefault="00923572">
      <w:r>
        <w:separator/>
      </w:r>
    </w:p>
  </w:footnote>
  <w:footnote w:type="continuationSeparator" w:id="0">
    <w:p w:rsidR="00923572" w:rsidRDefault="0092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654F8"/>
    <w:rsid w:val="002C18F6"/>
    <w:rsid w:val="0035310D"/>
    <w:rsid w:val="003646AB"/>
    <w:rsid w:val="003C0C72"/>
    <w:rsid w:val="00413019"/>
    <w:rsid w:val="0041558D"/>
    <w:rsid w:val="00421810"/>
    <w:rsid w:val="0045025B"/>
    <w:rsid w:val="0045137C"/>
    <w:rsid w:val="004538F2"/>
    <w:rsid w:val="004A7AB2"/>
    <w:rsid w:val="004B4768"/>
    <w:rsid w:val="0050571E"/>
    <w:rsid w:val="005105A8"/>
    <w:rsid w:val="00527DB6"/>
    <w:rsid w:val="00572856"/>
    <w:rsid w:val="00585A5B"/>
    <w:rsid w:val="00596EBD"/>
    <w:rsid w:val="005C0F76"/>
    <w:rsid w:val="005C5685"/>
    <w:rsid w:val="005F236B"/>
    <w:rsid w:val="006123C3"/>
    <w:rsid w:val="006837EE"/>
    <w:rsid w:val="0068788F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23572"/>
    <w:rsid w:val="0095052E"/>
    <w:rsid w:val="009837D1"/>
    <w:rsid w:val="00992528"/>
    <w:rsid w:val="009A4438"/>
    <w:rsid w:val="009E1B78"/>
    <w:rsid w:val="00A055BF"/>
    <w:rsid w:val="00A06959"/>
    <w:rsid w:val="00A112E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B5EDB"/>
    <w:rsid w:val="00CC4B8E"/>
    <w:rsid w:val="00D044F2"/>
    <w:rsid w:val="00D32A44"/>
    <w:rsid w:val="00D33136"/>
    <w:rsid w:val="00D613BF"/>
    <w:rsid w:val="00D97438"/>
    <w:rsid w:val="00DD71DB"/>
    <w:rsid w:val="00E524D0"/>
    <w:rsid w:val="00E75F21"/>
    <w:rsid w:val="00E76B6B"/>
    <w:rsid w:val="00EB0DC3"/>
    <w:rsid w:val="00F06C46"/>
    <w:rsid w:val="00F147BA"/>
    <w:rsid w:val="00F8582D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88B41E9-D54F-486B-8504-0AB0AFE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B000-3769-43C4-B075-6B8A0EE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9767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2</cp:lastModifiedBy>
  <cp:revision>3</cp:revision>
  <cp:lastPrinted>2017-03-17T16:23:00Z</cp:lastPrinted>
  <dcterms:created xsi:type="dcterms:W3CDTF">2026-06-23T08:15:00Z</dcterms:created>
  <dcterms:modified xsi:type="dcterms:W3CDTF">2026-06-23T08:23:00Z</dcterms:modified>
</cp:coreProperties>
</file>