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155C6ABD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A467C2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A467C2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A467C2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4700394C" w14:textId="77777777" w:rsidR="00A467C2" w:rsidRPr="00A467C2" w:rsidRDefault="00A467C2" w:rsidP="00A467C2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467C2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№А56-64041/2025 от 04.02.2026 гражданин Алиева А. (25.08.1994 г.р., уроженец Рустави Грузия, адрес регистрации: 187300, Ленинградская область, массив «Келколово-3», тер. СНТ «Дзержинец», дорога 7 участок 407; ИНН: 783905592567, СНИЛС: 20378465569)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18BA1A" w14:textId="77777777" w:rsidR="00A467C2" w:rsidRDefault="00A467C2" w:rsidP="00A467C2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467C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7D7B0917" w:rsidR="002D3659" w:rsidRDefault="00772B04" w:rsidP="00A467C2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A467C2"/>
    <w:rsid w:val="00A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2026-06-19T10:04:00Z</dcterms:modified>
</cp:coreProperties>
</file>