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A35C" w14:textId="69914005" w:rsidR="00E13BE0" w:rsidRDefault="000958B1" w:rsidP="00E13BE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E13BE0">
        <w:rPr>
          <w:rFonts w:ascii="Times New Roman" w:hAnsi="Times New Roman" w:cs="Times New Roman"/>
          <w:b/>
          <w:sz w:val="24"/>
          <w:szCs w:val="24"/>
        </w:rPr>
        <w:t>нежилого</w:t>
      </w:r>
      <w:r w:rsidR="00E13BE0" w:rsidRPr="00E13BE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E13BE0">
        <w:rPr>
          <w:rFonts w:ascii="Times New Roman" w:hAnsi="Times New Roman" w:cs="Times New Roman"/>
          <w:b/>
          <w:sz w:val="24"/>
          <w:szCs w:val="24"/>
        </w:rPr>
        <w:t>я</w:t>
      </w:r>
      <w:r w:rsidR="00CB7144" w:rsidRPr="00CB7144">
        <w:rPr>
          <w:rFonts w:ascii="Times New Roman" w:hAnsi="Times New Roman" w:cs="Times New Roman"/>
          <w:b/>
          <w:sz w:val="24"/>
          <w:szCs w:val="24"/>
        </w:rPr>
        <w:t>, расположенно</w:t>
      </w:r>
      <w:r w:rsidR="00CB7144">
        <w:rPr>
          <w:rFonts w:ascii="Times New Roman" w:hAnsi="Times New Roman" w:cs="Times New Roman"/>
          <w:b/>
          <w:sz w:val="24"/>
          <w:szCs w:val="24"/>
        </w:rPr>
        <w:t>го</w:t>
      </w:r>
      <w:r w:rsidR="00CB7144" w:rsidRPr="00CB7144">
        <w:rPr>
          <w:rFonts w:ascii="Times New Roman" w:hAnsi="Times New Roman" w:cs="Times New Roman"/>
          <w:b/>
          <w:sz w:val="24"/>
          <w:szCs w:val="24"/>
        </w:rPr>
        <w:t xml:space="preserve"> на 1 этаже многоквартирного дома по адресу: Оренбургская обл</w:t>
      </w:r>
      <w:r w:rsidR="00CB7144">
        <w:rPr>
          <w:rFonts w:ascii="Times New Roman" w:hAnsi="Times New Roman" w:cs="Times New Roman"/>
          <w:b/>
          <w:sz w:val="24"/>
          <w:szCs w:val="24"/>
        </w:rPr>
        <w:t>асть, г. Орск, ул. Горького 119</w:t>
      </w:r>
    </w:p>
    <w:p w14:paraId="10FAF8F2" w14:textId="77777777" w:rsidR="00CB7144" w:rsidRDefault="00CB7144" w:rsidP="00E13BE0">
      <w:pPr>
        <w:pStyle w:val="HTML"/>
        <w:jc w:val="center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43263218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1B0BB6">
        <w:rPr>
          <w:rStyle w:val="None"/>
        </w:rPr>
        <w:t>Индивидуальный предприниматель</w:t>
      </w:r>
      <w:r>
        <w:rPr>
          <w:rStyle w:val="None"/>
          <w:b/>
          <w:bCs/>
        </w:rPr>
        <w:t xml:space="preserve"> </w:t>
      </w:r>
      <w:r w:rsidR="00CB7144" w:rsidRPr="00CB7144">
        <w:t>Гловацкая М. В.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r w:rsidR="006620A2">
        <w:rPr>
          <w:rStyle w:val="Hyperlink1"/>
          <w:rFonts w:eastAsia="Calibri"/>
        </w:rPr>
        <w:fldChar w:fldCharType="begin"/>
      </w:r>
      <w:r w:rsidR="006620A2" w:rsidRPr="006620A2">
        <w:rPr>
          <w:rStyle w:val="Hyperlink1"/>
          <w:rFonts w:eastAsia="Calibri"/>
          <w:lang w:val="ru-RU"/>
        </w:rPr>
        <w:instrText xml:space="preserve"> </w:instrText>
      </w:r>
      <w:r w:rsidR="006620A2">
        <w:rPr>
          <w:rStyle w:val="Hyperlink1"/>
          <w:rFonts w:eastAsia="Calibri"/>
        </w:rPr>
        <w:instrText>HYPERLINK</w:instrText>
      </w:r>
      <w:r w:rsidR="006620A2" w:rsidRPr="006620A2">
        <w:rPr>
          <w:rStyle w:val="Hyperlink1"/>
          <w:rFonts w:eastAsia="Calibri"/>
          <w:lang w:val="ru-RU"/>
        </w:rPr>
        <w:instrText xml:space="preserve"> "</w:instrText>
      </w:r>
      <w:r w:rsidR="006620A2">
        <w:rPr>
          <w:rStyle w:val="Hyperlink1"/>
          <w:rFonts w:eastAsia="Calibri"/>
        </w:rPr>
        <w:instrText>https</w:instrText>
      </w:r>
      <w:r w:rsidR="006620A2" w:rsidRPr="006620A2">
        <w:rPr>
          <w:rStyle w:val="Hyperlink1"/>
          <w:rFonts w:eastAsia="Calibri"/>
          <w:lang w:val="ru-RU"/>
        </w:rPr>
        <w:instrText>://</w:instrText>
      </w:r>
      <w:r w:rsidR="006620A2">
        <w:rPr>
          <w:rStyle w:val="Hyperlink1"/>
          <w:rFonts w:eastAsia="Calibri"/>
        </w:rPr>
        <w:instrText>nistp</w:instrText>
      </w:r>
      <w:r w:rsidR="006620A2" w:rsidRPr="006620A2">
        <w:rPr>
          <w:rStyle w:val="Hyperlink1"/>
          <w:rFonts w:eastAsia="Calibri"/>
          <w:lang w:val="ru-RU"/>
        </w:rPr>
        <w:instrText>.</w:instrText>
      </w:r>
      <w:r w:rsidR="006620A2">
        <w:rPr>
          <w:rStyle w:val="Hyperlink1"/>
          <w:rFonts w:eastAsia="Calibri"/>
        </w:rPr>
        <w:instrText>ru</w:instrText>
      </w:r>
      <w:r w:rsidR="006620A2" w:rsidRPr="006620A2">
        <w:rPr>
          <w:rStyle w:val="Hyperlink1"/>
          <w:rFonts w:eastAsia="Calibri"/>
          <w:lang w:val="ru-RU"/>
        </w:rPr>
        <w:instrText xml:space="preserve">/" </w:instrText>
      </w:r>
      <w:r w:rsidR="006620A2">
        <w:rPr>
          <w:rStyle w:val="Hyperlink1"/>
          <w:rFonts w:eastAsia="Calibri"/>
        </w:rPr>
        <w:fldChar w:fldCharType="separate"/>
      </w:r>
      <w:r>
        <w:rPr>
          <w:rStyle w:val="Hyperlink1"/>
          <w:rFonts w:eastAsia="Calibri"/>
        </w:rPr>
        <w:t>https</w:t>
      </w:r>
      <w:r>
        <w:rPr>
          <w:rStyle w:val="None"/>
          <w:color w:val="0000FF"/>
          <w:u w:val="single" w:color="0000FF"/>
        </w:rPr>
        <w:t>://</w:t>
      </w:r>
      <w:proofErr w:type="spellStart"/>
      <w:r>
        <w:rPr>
          <w:rStyle w:val="Hyperlink1"/>
          <w:rFonts w:eastAsia="Calibri"/>
        </w:rPr>
        <w:t>nistp</w:t>
      </w:r>
      <w:proofErr w:type="spellEnd"/>
      <w:r>
        <w:rPr>
          <w:rStyle w:val="None"/>
          <w:color w:val="0000FF"/>
          <w:u w:val="single" w:color="0000FF"/>
        </w:rPr>
        <w:t>.</w:t>
      </w:r>
      <w:proofErr w:type="spellStart"/>
      <w:r>
        <w:rPr>
          <w:rStyle w:val="Hyperlink1"/>
          <w:rFonts w:eastAsia="Calibri"/>
        </w:rPr>
        <w:t>ru</w:t>
      </w:r>
      <w:proofErr w:type="spellEnd"/>
      <w:r>
        <w:rPr>
          <w:rStyle w:val="None"/>
          <w:color w:val="0000FF"/>
          <w:u w:val="single" w:color="0000FF"/>
        </w:rPr>
        <w:t>/</w:t>
      </w:r>
      <w:r w:rsidR="006620A2">
        <w:rPr>
          <w:rStyle w:val="None"/>
          <w:color w:val="0000FF"/>
          <w:u w:val="single" w:color="0000FF"/>
        </w:rPr>
        <w:fldChar w:fldCharType="end"/>
      </w:r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r w:rsidR="006620A2">
        <w:rPr>
          <w:rStyle w:val="a7"/>
          <w:rFonts w:eastAsia="Calibri"/>
          <w:u w:color="0000FF"/>
          <w:lang w:val="en-US"/>
        </w:rPr>
        <w:fldChar w:fldCharType="begin"/>
      </w:r>
      <w:r w:rsidR="006620A2" w:rsidRPr="006620A2">
        <w:rPr>
          <w:rStyle w:val="a7"/>
          <w:rFonts w:eastAsia="Calibri"/>
          <w:u w:color="0000FF"/>
        </w:rPr>
        <w:instrText xml:space="preserve"> </w:instrText>
      </w:r>
      <w:r w:rsidR="006620A2">
        <w:rPr>
          <w:rStyle w:val="a7"/>
          <w:rFonts w:eastAsia="Calibri"/>
          <w:u w:color="0000FF"/>
          <w:lang w:val="en-US"/>
        </w:rPr>
        <w:instrText>HYPERLINK</w:instrText>
      </w:r>
      <w:r w:rsidR="006620A2" w:rsidRPr="006620A2">
        <w:rPr>
          <w:rStyle w:val="a7"/>
          <w:rFonts w:eastAsia="Calibri"/>
          <w:u w:color="0000FF"/>
        </w:rPr>
        <w:instrText xml:space="preserve"> "</w:instrText>
      </w:r>
      <w:r w:rsidR="006620A2">
        <w:rPr>
          <w:rStyle w:val="a7"/>
          <w:rFonts w:eastAsia="Calibri"/>
          <w:u w:color="0000FF"/>
          <w:lang w:val="en-US"/>
        </w:rPr>
        <w:instrText>https</w:instrText>
      </w:r>
      <w:r w:rsidR="006620A2" w:rsidRPr="006620A2">
        <w:rPr>
          <w:rStyle w:val="a7"/>
          <w:rFonts w:eastAsia="Calibri"/>
          <w:u w:color="0000FF"/>
        </w:rPr>
        <w:instrText>://</w:instrText>
      </w:r>
      <w:r w:rsidR="006620A2">
        <w:rPr>
          <w:rStyle w:val="a7"/>
          <w:rFonts w:eastAsia="Calibri"/>
          <w:u w:color="0000FF"/>
          <w:lang w:val="en-US"/>
        </w:rPr>
        <w:instrText>asset</w:instrText>
      </w:r>
      <w:r w:rsidR="006620A2" w:rsidRPr="006620A2">
        <w:rPr>
          <w:rStyle w:val="a7"/>
          <w:rFonts w:eastAsia="Calibri"/>
          <w:u w:color="0000FF"/>
        </w:rPr>
        <w:instrText>-</w:instrText>
      </w:r>
      <w:r w:rsidR="006620A2">
        <w:rPr>
          <w:rStyle w:val="a7"/>
          <w:rFonts w:eastAsia="Calibri"/>
          <w:u w:color="0000FF"/>
          <w:lang w:val="en-US"/>
        </w:rPr>
        <w:instrText>m</w:instrText>
      </w:r>
      <w:r w:rsidR="006620A2" w:rsidRPr="006620A2">
        <w:rPr>
          <w:rStyle w:val="a7"/>
          <w:rFonts w:eastAsia="Calibri"/>
          <w:u w:color="0000FF"/>
        </w:rPr>
        <w:instrText>.</w:instrText>
      </w:r>
      <w:r w:rsidR="006620A2">
        <w:rPr>
          <w:rStyle w:val="a7"/>
          <w:rFonts w:eastAsia="Calibri"/>
          <w:u w:color="0000FF"/>
          <w:lang w:val="en-US"/>
        </w:rPr>
        <w:instrText>ru</w:instrText>
      </w:r>
      <w:r w:rsidR="006620A2" w:rsidRPr="006620A2">
        <w:rPr>
          <w:rStyle w:val="a7"/>
          <w:rFonts w:eastAsia="Calibri"/>
          <w:u w:color="0000FF"/>
        </w:rPr>
        <w:instrText xml:space="preserve">/" </w:instrText>
      </w:r>
      <w:r w:rsidR="006620A2">
        <w:rPr>
          <w:rStyle w:val="a7"/>
          <w:rFonts w:eastAsia="Calibri"/>
          <w:u w:color="0000FF"/>
          <w:lang w:val="en-US"/>
        </w:rPr>
        <w:fldChar w:fldCharType="separate"/>
      </w:r>
      <w:r w:rsidRPr="0026379C">
        <w:rPr>
          <w:rStyle w:val="a7"/>
          <w:rFonts w:eastAsia="Calibri"/>
          <w:u w:color="0000FF"/>
          <w:lang w:val="en-US"/>
        </w:rPr>
        <w:t>https</w:t>
      </w:r>
      <w:r w:rsidRPr="0026379C">
        <w:rPr>
          <w:rStyle w:val="a7"/>
          <w:u w:color="0000FF"/>
        </w:rPr>
        <w:t>://</w:t>
      </w:r>
      <w:r w:rsidRPr="0026379C">
        <w:rPr>
          <w:rStyle w:val="a7"/>
          <w:rFonts w:eastAsia="Calibri"/>
          <w:u w:color="0000FF"/>
          <w:lang w:val="en-US"/>
        </w:rPr>
        <w:t>asset</w:t>
      </w:r>
      <w:r w:rsidRPr="0026379C">
        <w:rPr>
          <w:rStyle w:val="a7"/>
          <w:u w:color="0000FF"/>
        </w:rPr>
        <w:t>-</w:t>
      </w:r>
      <w:r w:rsidRPr="0026379C">
        <w:rPr>
          <w:rStyle w:val="a7"/>
          <w:rFonts w:eastAsia="Calibri"/>
          <w:u w:color="0000FF"/>
          <w:lang w:val="en-US"/>
        </w:rPr>
        <w:t>m</w:t>
      </w:r>
      <w:r w:rsidRPr="0026379C">
        <w:rPr>
          <w:rStyle w:val="a7"/>
          <w:u w:color="0000FF"/>
        </w:rPr>
        <w:t>.</w:t>
      </w:r>
      <w:proofErr w:type="spellStart"/>
      <w:r w:rsidRPr="0026379C">
        <w:rPr>
          <w:rStyle w:val="a7"/>
          <w:rFonts w:eastAsia="Calibri"/>
          <w:u w:color="0000FF"/>
          <w:lang w:val="en-US"/>
        </w:rPr>
        <w:t>ru</w:t>
      </w:r>
      <w:proofErr w:type="spellEnd"/>
      <w:r w:rsidRPr="0026379C">
        <w:rPr>
          <w:rStyle w:val="a7"/>
          <w:u w:color="0000FF"/>
        </w:rPr>
        <w:t>/</w:t>
      </w:r>
      <w:r w:rsidR="006620A2">
        <w:rPr>
          <w:rStyle w:val="a7"/>
          <w:u w:color="0000FF"/>
        </w:rPr>
        <w:fldChar w:fldCharType="end"/>
      </w:r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49D31B3F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E13BE0" w:rsidRPr="00CF3C6C">
        <w:rPr>
          <w:rStyle w:val="None"/>
          <w:b/>
          <w:bCs/>
        </w:rPr>
        <w:t>29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1B0BB6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Pr="00CF3C6C">
        <w:rPr>
          <w:rStyle w:val="None"/>
        </w:rPr>
        <w:t xml:space="preserve"> часов </w:t>
      </w:r>
      <w:r w:rsidR="00CF3C6C" w:rsidRPr="00CF3C6C">
        <w:rPr>
          <w:rStyle w:val="None"/>
          <w:b/>
          <w:bCs/>
        </w:rPr>
        <w:t>28</w:t>
      </w:r>
      <w:r w:rsidRPr="00CF3C6C">
        <w:rPr>
          <w:rStyle w:val="None"/>
          <w:b/>
          <w:bCs/>
        </w:rPr>
        <w:t>.</w:t>
      </w:r>
      <w:r w:rsidR="009547D1" w:rsidRPr="00CF3C6C">
        <w:rPr>
          <w:rStyle w:val="None"/>
          <w:b/>
          <w:bCs/>
        </w:rPr>
        <w:t>07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0"/>
    <w:p w14:paraId="6C50A00F" w14:textId="77777777" w:rsidR="00E13BE0" w:rsidRPr="00290842" w:rsidRDefault="00E13BE0" w:rsidP="00F27E4B">
      <w:pPr>
        <w:rPr>
          <w:bCs/>
        </w:rPr>
      </w:pPr>
    </w:p>
    <w:p w14:paraId="51D51792" w14:textId="6EFDBC45" w:rsidR="00390C4E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172C8AEB" w14:textId="77777777" w:rsidR="00E13BE0" w:rsidRPr="00E13BE0" w:rsidRDefault="00E13BE0" w:rsidP="00E13BE0">
      <w:pPr>
        <w:rPr>
          <w:b/>
          <w:bCs/>
          <w:shd w:val="clear" w:color="auto" w:fill="FFFFFF"/>
        </w:rPr>
      </w:pPr>
    </w:p>
    <w:p w14:paraId="67F005A6" w14:textId="7E159CD3" w:rsidR="00E13BE0" w:rsidRDefault="005412DC" w:rsidP="001B0BB6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6D1BEEA0" w14:textId="77777777" w:rsidR="00CB7144" w:rsidRDefault="00CB7144" w:rsidP="00CB7144">
      <w:pPr>
        <w:shd w:val="clear" w:color="auto" w:fill="FFFFFF"/>
        <w:jc w:val="both"/>
      </w:pPr>
    </w:p>
    <w:p w14:paraId="795EE507" w14:textId="48852AF0" w:rsidR="00CB7144" w:rsidRDefault="00CB7144" w:rsidP="00CB7144">
      <w:pPr>
        <w:shd w:val="clear" w:color="auto" w:fill="FFFFFF"/>
        <w:jc w:val="both"/>
      </w:pPr>
      <w:r>
        <w:t>Нежилое помещение, расположенное на 1 этаже многоквартирного дома по адресу: Оренбургская область, г. Орск, ул. Горького 119. Площадь объекта: 870.9 м2. Кадастровый номер: 56:43:0115033:381. Назначение: нежилое. Коммуникации подключены. Эл. мощность: 16 квт. Тепло, ХВС — центральные.</w:t>
      </w:r>
    </w:p>
    <w:p w14:paraId="505646F0" w14:textId="77777777" w:rsidR="006620A2" w:rsidRDefault="00390C4E" w:rsidP="000958B1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3C637E91" w14:textId="18EC3AAF" w:rsidR="00CB7144" w:rsidRDefault="006620A2" w:rsidP="000958B1">
      <w:pPr>
        <w:shd w:val="clear" w:color="auto" w:fill="FFFFFF"/>
        <w:jc w:val="both"/>
        <w:rPr>
          <w:rStyle w:val="None"/>
          <w:b/>
          <w:bCs/>
        </w:rPr>
      </w:pPr>
      <w:bookmarkStart w:id="1" w:name="_GoBack"/>
      <w:bookmarkEnd w:id="1"/>
      <w:r w:rsidRPr="006620A2">
        <w:rPr>
          <w:rStyle w:val="None"/>
          <w:b/>
          <w:bCs/>
        </w:rPr>
        <w:t>Имеется задолженность по капитальному ремонту.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211EEEEB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CB7144">
        <w:t>26</w:t>
      </w:r>
      <w:r w:rsidR="00171CBD">
        <w:t> </w:t>
      </w:r>
      <w:r w:rsidR="00CB7144">
        <w:t>8</w:t>
      </w:r>
      <w:r w:rsidR="00171CBD">
        <w:t>00 000</w:t>
      </w:r>
      <w:r w:rsidR="007C5BA9">
        <w:t>,00 рублей (</w:t>
      </w:r>
      <w:r w:rsidR="00CF3C6C">
        <w:t>с учетом НДС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43D0CD5F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CB7144">
        <w:rPr>
          <w:bCs/>
          <w:color w:val="000000"/>
          <w:szCs w:val="22"/>
        </w:rPr>
        <w:t>12 300</w:t>
      </w:r>
      <w:r w:rsidR="00C44F54">
        <w:rPr>
          <w:bCs/>
          <w:color w:val="000000"/>
          <w:szCs w:val="22"/>
        </w:rPr>
        <w:t xml:space="preserve">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F3C6C"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A8607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E13BE0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51A07D81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B45A3" w:rsidRPr="002C4DF4">
              <w:rPr>
                <w:color w:val="000000"/>
              </w:rPr>
              <w:t>.0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1DE3D935" w:rsidR="00E05DA4" w:rsidRPr="002C4DF4" w:rsidRDefault="00CB7144" w:rsidP="00CB7144">
            <w:pPr>
              <w:jc w:val="center"/>
            </w:pPr>
            <w:r>
              <w:rPr>
                <w:shd w:val="clear" w:color="auto" w:fill="FFFFFF"/>
              </w:rPr>
              <w:t>26</w:t>
            </w:r>
            <w:r w:rsidR="00E13BE0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8</w:t>
            </w:r>
            <w:r w:rsidR="00E13BE0">
              <w:rPr>
                <w:shd w:val="clear" w:color="auto" w:fill="FFFFFF"/>
              </w:rPr>
              <w:t>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32191CE2" w:rsidR="00E05DA4" w:rsidRPr="002C4DF4" w:rsidRDefault="00CB7144" w:rsidP="00CF3C6C">
            <w:pPr>
              <w:jc w:val="center"/>
            </w:pPr>
            <w:r>
              <w:t>2 680 000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63FD6DC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  <w:r w:rsidR="001B45A3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3DD72C3F" w:rsidR="00E05DA4" w:rsidRPr="002C4DF4" w:rsidRDefault="009547D1" w:rsidP="00CB714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CB7144">
              <w:rPr>
                <w:shd w:val="clear" w:color="auto" w:fill="FFFFFF"/>
              </w:rPr>
              <w:t>23</w:t>
            </w:r>
            <w:r w:rsidR="00E13BE0">
              <w:rPr>
                <w:shd w:val="clear" w:color="auto" w:fill="FFFFFF"/>
              </w:rPr>
              <w:t> </w:t>
            </w:r>
            <w:r w:rsidR="00CB7144">
              <w:rPr>
                <w:shd w:val="clear" w:color="auto" w:fill="FFFFFF"/>
              </w:rPr>
              <w:t>900</w:t>
            </w:r>
            <w:r w:rsidR="00E13BE0">
              <w:rPr>
                <w:shd w:val="clear" w:color="auto" w:fill="FFFFFF"/>
              </w:rPr>
              <w:t xml:space="preserve">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38E0147E" w:rsidR="00E05DA4" w:rsidRPr="002C4DF4" w:rsidRDefault="00CB7144" w:rsidP="00CB7144">
            <w:pPr>
              <w:jc w:val="center"/>
            </w:pPr>
            <w:r>
              <w:t>2</w:t>
            </w:r>
            <w:r w:rsidR="009547D1">
              <w:t> </w:t>
            </w:r>
            <w:r>
              <w:t>390</w:t>
            </w:r>
            <w:r w:rsidR="009547D1">
              <w:t xml:space="preserve">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5EC86040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13</w:t>
            </w:r>
            <w:r w:rsidR="004A1DC1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61E8397B" w:rsidR="00E05DA4" w:rsidRPr="002C4DF4" w:rsidRDefault="00CB7144" w:rsidP="00CB7144">
            <w:pPr>
              <w:jc w:val="center"/>
            </w:pPr>
            <w:r>
              <w:t>21</w:t>
            </w:r>
            <w:r w:rsidR="003837F2">
              <w:t> </w:t>
            </w:r>
            <w:r>
              <w:t>0</w:t>
            </w:r>
            <w:r w:rsidR="003837F2">
              <w:t>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48B58D2B" w:rsidR="00E05DA4" w:rsidRPr="002C4DF4" w:rsidRDefault="00CB7144" w:rsidP="00CB7144">
            <w:pPr>
              <w:jc w:val="center"/>
            </w:pPr>
            <w:r>
              <w:t>2</w:t>
            </w:r>
            <w:r w:rsidR="009547D1">
              <w:t> </w:t>
            </w:r>
            <w:r>
              <w:t>10</w:t>
            </w:r>
            <w:r w:rsidR="00CF3C6C">
              <w:t>0</w:t>
            </w:r>
            <w:r w:rsidR="009547D1">
              <w:t xml:space="preserve">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250A6B64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18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0167C344" w:rsidR="00E05DA4" w:rsidRPr="002C4DF4" w:rsidRDefault="00CB7144" w:rsidP="00E13BE0">
            <w:pPr>
              <w:jc w:val="center"/>
            </w:pPr>
            <w:r>
              <w:rPr>
                <w:shd w:val="clear" w:color="auto" w:fill="FFFFFF"/>
              </w:rPr>
              <w:t>18</w:t>
            </w:r>
            <w:r w:rsidR="003837F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10</w:t>
            </w:r>
            <w:r w:rsidR="00C44F54">
              <w:rPr>
                <w:shd w:val="clear" w:color="auto" w:fill="FFFFFF"/>
              </w:rPr>
              <w:t>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396C4737" w:rsidR="00E05DA4" w:rsidRPr="002C4DF4" w:rsidRDefault="00CF3C6C" w:rsidP="00CB7144">
            <w:pPr>
              <w:jc w:val="center"/>
            </w:pPr>
            <w:r>
              <w:t>1</w:t>
            </w:r>
            <w:r w:rsidR="00CB7144">
              <w:t xml:space="preserve"> 810 </w:t>
            </w:r>
            <w:r w:rsidR="009547D1">
              <w:t>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509CB316" w:rsidR="004B1CB9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23</w:t>
            </w:r>
            <w:r w:rsidR="003837F2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5C237C6E" w:rsidR="004B1CB9" w:rsidRPr="002C4DF4" w:rsidRDefault="00CB7144" w:rsidP="00CB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90C4E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 w:rsidR="00390C4E">
              <w:rPr>
                <w:color w:val="000000"/>
              </w:rPr>
              <w:t>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0E240633" w:rsidR="004B1CB9" w:rsidRPr="002C4DF4" w:rsidRDefault="00CF3C6C" w:rsidP="00CB7144">
            <w:pPr>
              <w:jc w:val="center"/>
            </w:pPr>
            <w:r>
              <w:t>1</w:t>
            </w:r>
            <w:r w:rsidR="009547D1">
              <w:t> </w:t>
            </w:r>
            <w:r w:rsidR="00CB7144">
              <w:t>520</w:t>
            </w:r>
            <w:r w:rsidR="009547D1">
              <w:t xml:space="preserve">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7D27C905" w:rsidR="004B1CB9" w:rsidRPr="002C4DF4" w:rsidRDefault="00E13BE0" w:rsidP="00CF3C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C44F54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CF3C6C">
              <w:rPr>
                <w:color w:val="000000"/>
              </w:rPr>
              <w:t>28</w:t>
            </w:r>
            <w:r w:rsidR="005B5112" w:rsidRPr="002C4DF4">
              <w:rPr>
                <w:color w:val="000000"/>
              </w:rPr>
              <w:t>.</w:t>
            </w:r>
            <w:r w:rsidR="009547D1">
              <w:rPr>
                <w:color w:val="000000"/>
              </w:rPr>
              <w:t>07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3EF0B0EF" w:rsidR="004B1CB9" w:rsidRPr="002C4DF4" w:rsidRDefault="00CB7144" w:rsidP="00CB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12 30</w:t>
            </w:r>
            <w:r w:rsidR="00C44F54">
              <w:rPr>
                <w:color w:val="000000"/>
              </w:rPr>
              <w:t>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46C71DCB" w:rsidR="004B1CB9" w:rsidRPr="002C4DF4" w:rsidRDefault="00CB7144" w:rsidP="00443DA4">
            <w:pPr>
              <w:jc w:val="center"/>
            </w:pPr>
            <w:r>
              <w:t>1 230</w:t>
            </w:r>
            <w:r w:rsidR="00CF3C6C">
              <w:t xml:space="preserve">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lastRenderedPageBreak/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7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8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3D15CC6F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9547D1">
        <w:rPr>
          <w:b/>
          <w:color w:val="000000"/>
        </w:rPr>
        <w:t xml:space="preserve">ИП </w:t>
      </w:r>
      <w:r w:rsidR="00CB7144">
        <w:rPr>
          <w:b/>
          <w:color w:val="000000"/>
        </w:rPr>
        <w:t>М</w:t>
      </w:r>
      <w:r w:rsidR="000958B1">
        <w:rPr>
          <w:b/>
          <w:color w:val="000000"/>
        </w:rPr>
        <w:t>.</w:t>
      </w:r>
      <w:r w:rsidR="00CB7144">
        <w:rPr>
          <w:b/>
          <w:color w:val="000000"/>
        </w:rPr>
        <w:t>В</w:t>
      </w:r>
      <w:r w:rsidR="000958B1">
        <w:rPr>
          <w:b/>
          <w:color w:val="000000"/>
        </w:rPr>
        <w:t xml:space="preserve">. </w:t>
      </w:r>
      <w:r w:rsidR="00CF3C6C">
        <w:rPr>
          <w:b/>
          <w:color w:val="000000"/>
        </w:rPr>
        <w:t>Гловацко</w:t>
      </w:r>
      <w:r w:rsidR="00CB7144">
        <w:rPr>
          <w:b/>
          <w:color w:val="000000"/>
        </w:rPr>
        <w:t>й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</w:t>
      </w:r>
      <w:r w:rsidRPr="006F1245">
        <w:lastRenderedPageBreak/>
        <w:t>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</w:t>
      </w:r>
      <w:r w:rsidR="00853BD8" w:rsidRPr="003032A7">
        <w:rPr>
          <w:shd w:val="clear" w:color="auto" w:fill="FFFFFF"/>
        </w:rPr>
        <w:lastRenderedPageBreak/>
        <w:t>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20A2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B7144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trade@asset-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38C1-5B08-4A63-9687-A3E4A79A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10763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12275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2026-06-15T08:56:00Z</dcterms:created>
  <dcterms:modified xsi:type="dcterms:W3CDTF">2026-06-15T08:56:00Z</dcterms:modified>
</cp:coreProperties>
</file>