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1007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72" w:type="auto"/>
            <w:vAlign w:val="center"/>
            <w:textDirection w:val="lrTb"/>
            <w:noWrap w:val="false"/>
          </w:tcPr>
          <w:p>
            <w:pPr>
              <w:pStyle w:val="8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Калининой Антонины Тихоновны Газизова Наталья Андреевна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72" w:type="auto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6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5006"/>
        <w:gridCol w:w="5006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10 апреля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</w:t>
      </w:r>
      <w:r>
        <w:rPr>
          <w:b/>
          <w:bCs/>
          <w:sz w:val="20"/>
          <w:szCs w:val="20"/>
        </w:rPr>
        <w:t xml:space="preserve">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Удмуртской Республики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А71-2919/2025 А.И. Руденко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31.03.2025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31.03.2025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Калинина Антонина Тихоновна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11.09.1959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дер. Елкибаево Алнашского р-на Удмуртской АССР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180800433293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070-438-790 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427007, Удмуртская Республика, тер СПК Институтский, д. 111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0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</w:t>
      </w:r>
      <w:r>
        <w:rPr>
          <w:sz w:val="20"/>
          <w:szCs w:val="20"/>
        </w:rPr>
        <w:t xml:space="preserve">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</w:t>
      </w:r>
      <w:r>
        <w:rPr>
          <w:sz w:val="20"/>
          <w:szCs w:val="20"/>
        </w:rPr>
        <w:t xml:space="preserve">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0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</w:t>
      </w:r>
      <w:r>
        <w:rPr>
          <w:sz w:val="20"/>
          <w:szCs w:val="20"/>
        </w:rPr>
        <w:t xml:space="preserve">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0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</w:t>
      </w:r>
      <w:r>
        <w:rPr>
          <w:sz w:val="20"/>
          <w:szCs w:val="20"/>
        </w:rPr>
        <w:t xml:space="preserve">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</w:t>
      </w:r>
      <w:r>
        <w:rPr>
          <w:sz w:val="20"/>
          <w:szCs w:val="20"/>
        </w:rPr>
        <w:t xml:space="preserve">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0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0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</w:t>
      </w:r>
      <w:r>
        <w:rPr>
          <w:sz w:val="20"/>
          <w:szCs w:val="20"/>
        </w:rPr>
        <w:t xml:space="preserve">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0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</w:t>
      </w:r>
      <w:r>
        <w:rPr>
          <w:sz w:val="20"/>
          <w:szCs w:val="20"/>
        </w:rPr>
        <w:t xml:space="preserve">а по состоянию на 10 апреля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502"/>
        <w:gridCol w:w="6025"/>
        <w:gridCol w:w="35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85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№1: (Жилой дом)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объекта: Жилой дом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номер: 18:04:142014:126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Назначение:Жилое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Местоположение: Удмуртская Респ, Воткинский р-н, д. Кварса, ул. Первомайская, 81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6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Площадь: 46.1 кв. м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Общая долевая собственность 1/4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left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85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№3 (Земельный участок)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объекта: Земельный участок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номер: 18:04:142014:153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Назначение: Для ведения личного подсобного хозяйства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Местоположение: Удмуртская Республика, Воткинский р-н, д. Кварса, ул. Первомайская, 81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6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Площадь: 2295 кв. м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Общая долевая собственность 1/4</w:t>
            </w:r>
            <w:r/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56"/>
              <w:jc w:val="center"/>
            </w:pPr>
            <w:r>
              <w:rPr>
                <w:rFonts w:ascii="Times New Roman" w:hAnsi="Times New Roman" w:eastAsia="Times New Roman" w:cs="Times New Roman"/>
                <w:color w:val="292c2f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92c2f"/>
                <w:sz w:val="20"/>
                <w:szCs w:val="20"/>
                <w:highlight w:val="none"/>
              </w:rPr>
              <w:t xml:space="preserve">269 043</w:t>
            </w:r>
            <w:r/>
            <w:r/>
          </w:p>
          <w:p>
            <w:pPr>
              <w:pStyle w:val="856"/>
              <w:jc w:val="center"/>
            </w:pPr>
            <w:r>
              <w:rPr>
                <w:rFonts w:ascii="Times New Roman" w:hAnsi="Times New Roman" w:eastAsia="Times New Roman" w:cs="Times New Roman"/>
                <w:color w:val="292c2f"/>
                <w:sz w:val="20"/>
                <w:szCs w:val="20"/>
                <w:highlight w:val="none"/>
              </w:rPr>
            </w:r>
            <w:r/>
          </w:p>
          <w:p>
            <w:pPr>
              <w:pStyle w:val="8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7" w:type="auto"/>
            <w:vAlign w:val="center"/>
            <w:textDirection w:val="lrTb"/>
            <w:noWrap w:val="false"/>
          </w:tcPr>
          <w:p>
            <w:pPr>
              <w:pStyle w:val="85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15" w:type="auto"/>
            <w:vAlign w:val="center"/>
            <w:textDirection w:val="lrTb"/>
            <w:noWrap w:val="false"/>
          </w:tcPr>
          <w:p>
            <w:pPr>
              <w:pStyle w:val="856"/>
              <w:jc w:val="center"/>
            </w:pPr>
            <w:r>
              <w:rPr>
                <w:rFonts w:ascii="Times New Roman" w:hAnsi="Times New Roman" w:eastAsia="Times New Roman" w:cs="Times New Roman"/>
                <w:color w:val="292c2f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92c2f"/>
                <w:sz w:val="20"/>
                <w:szCs w:val="20"/>
                <w:highlight w:val="none"/>
              </w:rPr>
              <w:t xml:space="preserve">269 043</w:t>
            </w:r>
            <w:r/>
            <w:r/>
          </w:p>
          <w:p>
            <w:pPr>
              <w:pStyle w:val="8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0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Лот 1: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Объект №1: (Жилой дом)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 объекта: Жилой дом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Кадастровый номер: 18:04:142014:126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Назначение:Жилое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Местоположение: Удмуртская Респ, Воткинский р-н, д. Кварса, ул. Первомайская, 81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6"/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Площадь: 46.1 кв. м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6"/>
        <w:jc w:val="left"/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Кадастровая стоимость данного объекта, в соответствии с выпиской равна: 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154259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 </w:t>
      </w:r>
      <w:r>
        <w:rPr>
          <w:sz w:val="20"/>
          <w:szCs w:val="20"/>
        </w:rPr>
        <w:t xml:space="preserve">руб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hyperlink r:id="rId10" w:tooltip="https://lk.rosreestr.ru/eservices/real-estate-objects-online?ref=destralegal.ru" w:history="1">
        <w:r>
          <w:rPr>
            <w:rStyle w:val="838"/>
            <w:sz w:val="20"/>
            <w:szCs w:val="20"/>
            <w:highlight w:val="none"/>
          </w:rPr>
          <w:t xml:space="preserve">https://lk.rosreestr.ru/eservices/real-estate-objects-online?ref=destralegal.ru</w:t>
        </w:r>
        <w:r>
          <w:rPr>
            <w:rStyle w:val="838"/>
            <w:sz w:val="20"/>
            <w:szCs w:val="20"/>
            <w:highlight w:val="none"/>
          </w:rPr>
        </w:r>
        <w:r>
          <w:rPr>
            <w:rStyle w:val="838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Объект №3 (Земельный участок)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 объекта: Земельный участок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Кадастровый номер: 18:04:142014:153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Назначение: Для ведения личного подсобного хозяйства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Местоположение: Удмуртская Республика, Воткинский р-н, д. Кварса, ул. Первомайская, 81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Площадь: 2295 кв. 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Кадастровая стоимость данного объекта, в соответствии с выпиской равна: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114784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 </w:t>
      </w:r>
      <w:r>
        <w:rPr>
          <w:sz w:val="20"/>
          <w:szCs w:val="20"/>
        </w:rPr>
        <w:t xml:space="preserve">руб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hyperlink r:id="rId11" w:tooltip="https://lk.rosreestr.ru/eservices/real-estate-objects-online?ref=destralegal.ru" w:history="1">
        <w:r>
          <w:rPr>
            <w:rStyle w:val="838"/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https://lk.rosreestr.ru/eservices/real-estate-objects-online?ref=destralegal.ru</w:t>
        </w:r>
        <w:r>
          <w:rPr>
            <w:rStyle w:val="838"/>
            <w:rFonts w:ascii="Times New Roman" w:hAnsi="Times New Roman" w:eastAsia="Times New Roman" w:cs="Times New Roman"/>
            <w:sz w:val="20"/>
            <w:szCs w:val="20"/>
            <w:highlight w:val="none"/>
          </w:rPr>
        </w:r>
        <w:r>
          <w:rPr>
            <w:rStyle w:val="838"/>
            <w:rFonts w:ascii="Times New Roman" w:hAnsi="Times New Roman" w:eastAsia="Times New Roman" w:cs="Times New Roman"/>
            <w:sz w:val="20"/>
            <w:szCs w:val="20"/>
            <w:highlight w:val="none"/>
          </w:rPr>
        </w:r>
      </w:hyperlink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8400627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50115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300469" cy="8400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6.10pt;height:661.47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21810" cy="961263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995379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421809" cy="9612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48.17pt;height:756.9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8400627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982318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300469" cy="8400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96.10pt;height:661.47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8400627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150364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300469" cy="8400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96.10pt;height:661.47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21810" cy="9612630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81851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421809" cy="9612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48.17pt;height:756.9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8400627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992255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300469" cy="8400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96.10pt;height:661.47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602"/>
        <w:gridCol w:w="2762"/>
        <w:gridCol w:w="2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86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  <w:t xml:space="preserve">Калининой Антонины Тихоновны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69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56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sz w:val="24"/>
      <w:szCs w:val="24"/>
      <w:lang w:val="ru-RU" w:eastAsia="ru-RU" w:bidi="ar-SA"/>
    </w:rPr>
  </w:style>
  <w:style w:type="paragraph" w:styleId="857">
    <w:name w:val="Заголовок 1"/>
    <w:basedOn w:val="856"/>
    <w:next w:val="857"/>
    <w:link w:val="864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58">
    <w:name w:val="Заголовок 2"/>
    <w:basedOn w:val="856"/>
    <w:next w:val="858"/>
    <w:link w:val="865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59">
    <w:name w:val="Заголовок 3"/>
    <w:basedOn w:val="856"/>
    <w:next w:val="859"/>
    <w:link w:val="866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60">
    <w:name w:val="Заголовок 4"/>
    <w:basedOn w:val="856"/>
    <w:next w:val="860"/>
    <w:link w:val="867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1">
    <w:name w:val="Основной шрифт абзаца"/>
    <w:next w:val="861"/>
    <w:link w:val="856"/>
    <w:uiPriority w:val="1"/>
    <w:semiHidden/>
    <w:unhideWhenUsed/>
  </w:style>
  <w:style w:type="table" w:styleId="862">
    <w:name w:val="Обычная таблица"/>
    <w:next w:val="862"/>
    <w:link w:val="856"/>
    <w:uiPriority w:val="99"/>
    <w:semiHidden/>
    <w:unhideWhenUsed/>
    <w:tblPr/>
  </w:style>
  <w:style w:type="numbering" w:styleId="863">
    <w:name w:val="Нет списка"/>
    <w:next w:val="863"/>
    <w:link w:val="856"/>
    <w:uiPriority w:val="99"/>
    <w:semiHidden/>
    <w:unhideWhenUsed/>
  </w:style>
  <w:style w:type="character" w:styleId="864">
    <w:name w:val="Заголовок 1 Знак"/>
    <w:next w:val="864"/>
    <w:link w:val="857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5">
    <w:name w:val="Заголовок 2 Знак"/>
    <w:next w:val="865"/>
    <w:link w:val="858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66">
    <w:name w:val="Заголовок 3 Знак"/>
    <w:next w:val="866"/>
    <w:link w:val="859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67">
    <w:name w:val="Заголовок 4 Знак"/>
    <w:next w:val="867"/>
    <w:link w:val="860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68">
    <w:name w:val="msonormal"/>
    <w:basedOn w:val="856"/>
    <w:next w:val="868"/>
    <w:link w:val="856"/>
    <w:pPr>
      <w:spacing w:before="120" w:after="120"/>
    </w:pPr>
  </w:style>
  <w:style w:type="paragraph" w:styleId="869">
    <w:name w:val="Обычный (Интернет)"/>
    <w:basedOn w:val="856"/>
    <w:next w:val="869"/>
    <w:link w:val="856"/>
    <w:uiPriority w:val="99"/>
    <w:unhideWhenUsed/>
    <w:pPr>
      <w:spacing w:before="120" w:after="120"/>
    </w:pPr>
  </w:style>
  <w:style w:type="paragraph" w:styleId="870">
    <w:name w:val="indent"/>
    <w:basedOn w:val="856"/>
    <w:next w:val="870"/>
    <w:link w:val="856"/>
    <w:pPr>
      <w:ind w:firstLine="708"/>
      <w:jc w:val="both"/>
      <w:spacing w:before="120" w:after="120"/>
    </w:pPr>
  </w:style>
  <w:style w:type="paragraph" w:styleId="871">
    <w:name w:val="indnomrg"/>
    <w:basedOn w:val="856"/>
    <w:next w:val="871"/>
    <w:link w:val="856"/>
    <w:pPr>
      <w:ind w:firstLine="708"/>
      <w:jc w:val="both"/>
    </w:pPr>
  </w:style>
  <w:style w:type="paragraph" w:styleId="872">
    <w:name w:val="nomrg"/>
    <w:basedOn w:val="856"/>
    <w:next w:val="872"/>
    <w:link w:val="856"/>
    <w:pPr>
      <w:jc w:val="both"/>
    </w:pPr>
  </w:style>
  <w:style w:type="paragraph" w:styleId="873">
    <w:name w:val="zagolovok6"/>
    <w:next w:val="873"/>
    <w:link w:val="856"/>
    <w:qFormat/>
    <w:rPr>
      <w:sz w:val="24"/>
      <w:szCs w:val="24"/>
      <w:lang w:val="ru-RU" w:eastAsia="ru-RU" w:bidi="ar-SA"/>
    </w:rPr>
  </w:style>
  <w:style w:type="paragraph" w:styleId="874">
    <w:name w:val="Нижний колонтитул"/>
    <w:basedOn w:val="856"/>
    <w:next w:val="874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>
    <w:name w:val="Нижний колонтитул Знак"/>
    <w:next w:val="875"/>
    <w:link w:val="874"/>
    <w:uiPriority w:val="99"/>
    <w:rPr>
      <w:rFonts w:eastAsia="Times New Roman"/>
      <w:sz w:val="24"/>
      <w:szCs w:val="24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hyperlink" Target="https://lk.rosreestr.ru/eservices/real-estate-objects-online?ref=destralegal.ru" TargetMode="External"/><Relationship Id="rId12" Type="http://schemas.openxmlformats.org/officeDocument/2006/relationships/image" Target="media/image1.jpg"/><Relationship Id="rId13" Type="http://schemas.openxmlformats.org/officeDocument/2006/relationships/image" Target="media/image2.jpg"/><Relationship Id="rId14" Type="http://schemas.openxmlformats.org/officeDocument/2006/relationships/image" Target="media/image3.jpg"/><Relationship Id="rId15" Type="http://schemas.openxmlformats.org/officeDocument/2006/relationships/image" Target="media/image4.jpg"/><Relationship Id="rId16" Type="http://schemas.openxmlformats.org/officeDocument/2006/relationships/image" Target="media/image5.jpg"/><Relationship Id="rId17" Type="http://schemas.openxmlformats.org/officeDocument/2006/relationships/image" Target="media/image6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Admin</dc:creator>
  <cp:lastModifiedBy>alesh</cp:lastModifiedBy>
  <cp:revision>5</cp:revision>
  <dcterms:created xsi:type="dcterms:W3CDTF">2025-12-24T12:51:00Z</dcterms:created>
  <dcterms:modified xsi:type="dcterms:W3CDTF">2026-06-10T08:26:48Z</dcterms:modified>
  <cp:version>1048576</cp:version>
</cp:coreProperties>
</file>