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A6" w:rsidRDefault="009E4B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 № ______</w:t>
      </w:r>
    </w:p>
    <w:p w:rsidR="00380EA6" w:rsidRDefault="009E4B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:rsidR="00380EA6" w:rsidRDefault="00380E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5447"/>
      </w:tblGrid>
      <w:tr w:rsidR="00380EA6">
        <w:tc>
          <w:tcPr>
            <w:tcW w:w="4785" w:type="dxa"/>
            <w:shd w:val="clear" w:color="auto" w:fill="auto"/>
          </w:tcPr>
          <w:p w:rsidR="00380EA6" w:rsidRDefault="009E4B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азань</w:t>
            </w:r>
            <w:proofErr w:type="spellEnd"/>
          </w:p>
        </w:tc>
        <w:tc>
          <w:tcPr>
            <w:tcW w:w="5563" w:type="dxa"/>
            <w:shd w:val="clear" w:color="auto" w:fill="auto"/>
          </w:tcPr>
          <w:p w:rsidR="00380EA6" w:rsidRDefault="009E4BC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«____» _______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:rsidR="00380EA6" w:rsidRDefault="009E4BCA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380EA6" w:rsidRDefault="009E4B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 (ИНН ______________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______________)</w:t>
      </w:r>
      <w:r>
        <w:rPr>
          <w:rFonts w:ascii="Times New Roman" w:hAnsi="Times New Roman" w:cs="Times New Roman"/>
          <w:sz w:val="20"/>
          <w:szCs w:val="20"/>
        </w:rPr>
        <w:t xml:space="preserve"> именуемый в дальнейшем «</w:t>
      </w:r>
      <w:r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>
        <w:rPr>
          <w:rFonts w:ascii="Times New Roman" w:hAnsi="Times New Roman" w:cs="Times New Roman"/>
          <w:sz w:val="20"/>
          <w:szCs w:val="20"/>
        </w:rPr>
        <w:t xml:space="preserve">», в лице _________________________, действующего на </w:t>
      </w:r>
      <w:r>
        <w:rPr>
          <w:rFonts w:ascii="Times New Roman" w:hAnsi="Times New Roman" w:cs="Times New Roman"/>
          <w:sz w:val="20"/>
          <w:szCs w:val="20"/>
        </w:rPr>
        <w:t>основании _______, с одной стороны, и</w:t>
      </w:r>
      <w:proofErr w:type="gramEnd"/>
    </w:p>
    <w:p w:rsidR="00380EA6" w:rsidRDefault="009E4BC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bookmarkStart w:id="0" w:name="_GoBack"/>
      <w:bookmarkEnd w:id="0"/>
    </w:p>
    <w:p w:rsidR="00380EA6" w:rsidRDefault="009E4B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>вмест</w:t>
      </w:r>
      <w:r>
        <w:rPr>
          <w:rFonts w:ascii="Times New Roman" w:hAnsi="Times New Roman" w:cs="Times New Roman"/>
          <w:sz w:val="20"/>
          <w:szCs w:val="20"/>
        </w:rPr>
        <w:t>е именуемые «</w:t>
      </w:r>
      <w:r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>
        <w:rPr>
          <w:rFonts w:ascii="Times New Roman" w:hAnsi="Times New Roman" w:cs="Times New Roman"/>
          <w:sz w:val="20"/>
          <w:szCs w:val="20"/>
        </w:rPr>
        <w:t>», а по отдельности «</w:t>
      </w:r>
      <w:r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_________________ купли-продажи недвижимого имущества (далее по текст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у–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:rsidR="00380EA6" w:rsidRDefault="00380E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обязуется передать (продать) в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собственность Покупателя, а Покупатель принять и оплатить в соответствии с настоящим Договором следующее недвижимое имущество:</w:t>
      </w:r>
    </w:p>
    <w:p w:rsidR="00380EA6" w:rsidRDefault="0038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1.2.         Настоящий Договор заключается Сторонами </w:t>
      </w:r>
      <w:r>
        <w:rPr>
          <w:rFonts w:ascii="Times New Roman" w:hAnsi="Times New Roman"/>
        </w:rPr>
        <w:t>по результатам проведения открытых торгов в форме публичного предложени</w:t>
      </w:r>
      <w:r>
        <w:rPr>
          <w:rFonts w:ascii="Times New Roman" w:hAnsi="Times New Roman"/>
        </w:rPr>
        <w:t>я по продаже имущества Продавца, состоявшихся _______ г. на электронной торговой площадке АО «Новые информационные сервисы», страница торгов размещена на сайте в сети Интернет www.nistp.ru</w:t>
      </w:r>
    </w:p>
    <w:p w:rsidR="00380EA6" w:rsidRDefault="00380E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  <w:proofErr w:type="gramEnd"/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настоящем Договоре, имеют значение для заключения настоящего Договора.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недвижимости:</w:t>
      </w: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ц (включая сервитуты), за исключением краткосрочных Договоров аренды</w:t>
      </w: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Покупатель заверяет, что в связи с этим, претензий к Продавцу не имеет и понимает, что с момента перехода права собственности на Объект недвиж</w:t>
      </w: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имости к Покупателю к нему переходят права Арендодателя.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уведомляет, что согласие на продажу Объекта недвижимости не требуется.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заверяет, что ему не известно о каких-либо обстоятельствах, которые влекут или могут повлечь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недействительность настоящего Договора в целом или в части, или недействительность прав Продавца на Объект недвижимости.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абжающим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Договорам им погашены. </w:t>
      </w:r>
    </w:p>
    <w:p w:rsidR="00380EA6" w:rsidRDefault="009E4BC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Договорам после перехода права собственности на Объект недвижимости к Покупателю, но за период фактического владения Объектом недвижимости Продавцом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– Продавец обязуется оплатить указанные услуги. </w:t>
      </w:r>
    </w:p>
    <w:p w:rsidR="00380EA6" w:rsidRDefault="009E4BC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Продавец также информирует Покупателя, что за Объектом недвижимости не имеется задолженности по капитальному ремонту.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  <w:proofErr w:type="gramEnd"/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</w:t>
      </w:r>
      <w:r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 xml:space="preserve"> Объекта недвижимости/Покупателем получено согласие на приобретение Объекта недвижимости.</w:t>
      </w:r>
    </w:p>
    <w:p w:rsidR="00380EA6" w:rsidRDefault="00380EA6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>
        <w:rPr>
          <w:rFonts w:ascii="Times New Roman" w:hAnsi="Times New Roman" w:cs="Times New Roman"/>
          <w:sz w:val="20"/>
          <w:szCs w:val="20"/>
        </w:rPr>
        <w:t>») составляет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_________________ (______________)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рублей, ____ коп.,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оплачивается на расчетный счет Продавца за вычетом задатка в размере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 (______________)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рублей, ____ коп.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оплачивает Цену </w:t>
      </w:r>
      <w:bookmarkStart w:id="1" w:name="_Hlk67622622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Объекта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недвижимости </w:t>
      </w:r>
      <w:bookmarkEnd w:id="1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:rsidR="00380EA6" w:rsidRDefault="009E4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 (_______________) рублей, ___ коп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п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роизводится Покупателем в безналичной форме п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осредством оплаты на расчетный счет Продавца, указанный в Разделе 10 Договора, в течение 30 дней со дня подписания настоящего договора.  </w:t>
      </w:r>
    </w:p>
    <w:p w:rsidR="00380EA6" w:rsidRDefault="009E4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</w:t>
      </w: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на взаимоотношения Сторон не будет распространяться положение пункта 5 статьи 488 Гражданского кодекса РФ.</w:t>
      </w: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3 (Трех) рабочих дней с даты заключения настоящего Договора, при условии исполнения Покупателем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ерехода права собственности на Объект недвижимости от Продавца к Покупателю на основании настоящего Договора.</w:t>
      </w:r>
      <w:proofErr w:type="gramEnd"/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а собственности на Объект недвижимости от Продавца к Покупателю.</w:t>
      </w:r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обязуется встречно компенсировать данные оплаты денежными средствами путем перечисления их на расчетный счет Продавца в течение 5 (пяти) рабочих дней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с даты получения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счетов от Продавца.</w:t>
      </w:r>
    </w:p>
    <w:p w:rsidR="00380EA6" w:rsidRDefault="009E4BCA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ние 30 рабочих дней с момента перехода права собственности на Объект недвижимости к Покупателю.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недвижимости в размере, порядке и сроки, предусмотренные настоящим Договором.</w:t>
      </w:r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Объект недвижимости от Продавца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 Покупателю.</w:t>
      </w:r>
    </w:p>
    <w:p w:rsidR="00380EA6" w:rsidRDefault="009E4BCA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:rsidR="00380EA6" w:rsidRDefault="00380EA6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ении Федеральной службы государственной регистрации, кадастра и картографии (далее по тексту Договора – «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Риск случайной гибели или случайного повреждения Объекта недвижимости переходит на Покупателя с момента передачи Объекта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недвижимости Покупателю по передаточному акту.</w:t>
      </w:r>
    </w:p>
    <w:p w:rsidR="00380EA6" w:rsidRDefault="00380EA6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арный день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с даты отправления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находится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/отсутст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вует по такому адресу, либо если адрес оказался неверным, вымышленным либо несуществующим.</w:t>
      </w:r>
    </w:p>
    <w:p w:rsidR="00380EA6" w:rsidRDefault="009E4BC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разделе 10 настоящего Договора.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с момента таких изменений, путем направления письменного уведомления по правилам пункта 6.1 настоящего Договора.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лненными) надлежащим образом.</w:t>
      </w: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lastRenderedPageBreak/>
        <w:t>ОТВЕТСТВЕННОСТЬ СТОРОН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 или отказаться от Исполнения настоящего Договора, при этом задаток, оплаченный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Покупателем, остается в собственности Продавца.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Стороны предпринимают меры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со дня ее получения.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:rsidR="00380EA6" w:rsidRDefault="00380E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вступает в силу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с даты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его подписания Сторонами.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ководствоваться действующим законодательством РФ.</w:t>
      </w:r>
    </w:p>
    <w:p w:rsidR="00380EA6" w:rsidRDefault="009E4BC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Покупателя.</w:t>
      </w:r>
    </w:p>
    <w:p w:rsidR="00380EA6" w:rsidRDefault="009E4BC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:rsidR="00380EA6" w:rsidRDefault="00380EA6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4A0" w:firstRow="1" w:lastRow="0" w:firstColumn="1" w:lastColumn="0" w:noHBand="0" w:noVBand="1"/>
      </w:tblPr>
      <w:tblGrid>
        <w:gridCol w:w="5158"/>
        <w:gridCol w:w="5625"/>
      </w:tblGrid>
      <w:tr w:rsidR="00380EA6">
        <w:trPr>
          <w:trHeight w:val="535"/>
        </w:trPr>
        <w:tc>
          <w:tcPr>
            <w:tcW w:w="5158" w:type="dxa"/>
          </w:tcPr>
          <w:p w:rsidR="00380EA6" w:rsidRDefault="009E4BCA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380EA6" w:rsidRDefault="009E4BCA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:rsidR="00380EA6" w:rsidRDefault="009E4BCA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380EA6">
        <w:trPr>
          <w:trHeight w:val="467"/>
        </w:trPr>
        <w:tc>
          <w:tcPr>
            <w:tcW w:w="5158" w:type="dxa"/>
          </w:tcPr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</w:t>
            </w: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____________;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ИНН: _____, </w:t>
            </w: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_______.</w:t>
            </w: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/счет _____________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/счет _______________</w:t>
            </w: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______________</w:t>
            </w:r>
          </w:p>
          <w:p w:rsidR="00380EA6" w:rsidRDefault="00380EA6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EA6" w:rsidRDefault="009E4BCA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:rsidR="00380EA6" w:rsidRDefault="009E4BCA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серия: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выдачи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.  г.,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:rsidR="00380EA6" w:rsidRDefault="009E4BCA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:rsidR="00380EA6" w:rsidRDefault="009E4BCA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:rsidR="00380EA6" w:rsidRDefault="009E4BCA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чет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:rsidR="00380EA6" w:rsidRDefault="009E4BCA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380E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0EA6" w:rsidRDefault="009E4BCA">
            <w:p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</w:t>
            </w:r>
          </w:p>
          <w:p w:rsidR="00380EA6" w:rsidRDefault="009E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380EA6" w:rsidRDefault="0038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0EA6" w:rsidRDefault="0038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EA6" w:rsidRDefault="0038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0EA6" w:rsidRDefault="00380EA6">
      <w:pPr>
        <w:jc w:val="both"/>
      </w:pPr>
    </w:p>
    <w:sectPr w:rsidR="00380EA6">
      <w:footerReference w:type="default" r:id="rId9"/>
      <w:pgSz w:w="11906" w:h="16838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CA" w:rsidRDefault="009E4BCA">
      <w:pPr>
        <w:spacing w:line="240" w:lineRule="auto"/>
      </w:pPr>
      <w:r>
        <w:separator/>
      </w:r>
    </w:p>
  </w:endnote>
  <w:endnote w:type="continuationSeparator" w:id="0">
    <w:p w:rsidR="009E4BCA" w:rsidRDefault="009E4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A6" w:rsidRDefault="00380EA6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:rsidR="00380EA6" w:rsidRDefault="00380EA6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CA" w:rsidRDefault="009E4BCA">
      <w:pPr>
        <w:spacing w:after="0"/>
      </w:pPr>
      <w:r>
        <w:separator/>
      </w:r>
    </w:p>
  </w:footnote>
  <w:footnote w:type="continuationSeparator" w:id="0">
    <w:p w:rsidR="009E4BCA" w:rsidRDefault="009E4B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E20"/>
    <w:multiLevelType w:val="multilevel"/>
    <w:tmpl w:val="55A44E20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4"/>
    <w:rsid w:val="00077954"/>
    <w:rsid w:val="000D01DA"/>
    <w:rsid w:val="001971D1"/>
    <w:rsid w:val="00380EA6"/>
    <w:rsid w:val="004C2AE9"/>
    <w:rsid w:val="004C7BEF"/>
    <w:rsid w:val="00623DED"/>
    <w:rsid w:val="006A2BD6"/>
    <w:rsid w:val="007F6E8C"/>
    <w:rsid w:val="00814264"/>
    <w:rsid w:val="00926ACF"/>
    <w:rsid w:val="009D3F35"/>
    <w:rsid w:val="009E4BCA"/>
    <w:rsid w:val="00AF07B7"/>
    <w:rsid w:val="00B32C42"/>
    <w:rsid w:val="00CE2D22"/>
    <w:rsid w:val="00D054C6"/>
    <w:rsid w:val="00D24540"/>
    <w:rsid w:val="00DC6597"/>
    <w:rsid w:val="00EF13FD"/>
    <w:rsid w:val="00F624AE"/>
    <w:rsid w:val="0F3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Название Знак"/>
    <w:basedOn w:val="a0"/>
    <w:link w:val="a6"/>
    <w:uiPriority w:val="99"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Title"/>
    <w:basedOn w:val="a"/>
    <w:link w:val="a7"/>
    <w:uiPriority w:val="99"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Название Знак"/>
    <w:basedOn w:val="a0"/>
    <w:link w:val="a6"/>
    <w:uiPriority w:val="99"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F675-1725-4F61-B2F2-F77FA033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1627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Admin</cp:lastModifiedBy>
  <cp:revision>4</cp:revision>
  <dcterms:created xsi:type="dcterms:W3CDTF">2025-01-29T14:12:00Z</dcterms:created>
  <dcterms:modified xsi:type="dcterms:W3CDTF">2026-05-21T13:16:00Z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57025BC663E1444E83E67894E40D4441_12</vt:lpwstr>
  </property>
</Properties>
</file>