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33AF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CEA880F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7265DD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BBAB4E2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BA4DFE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A4EE7E9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02398EF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45BB0" w:rsidRPr="00645B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Суханов Артем Борисович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ИНН 744714831429</w:t>
      </w:r>
      <w:r w:rsidR="00645BB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0AEC0A5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B216024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724A60" w14:textId="77777777" w:rsidR="00F06C46" w:rsidRPr="00111563" w:rsidRDefault="00F06C46" w:rsidP="00645BB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645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задаток в размере </w:t>
      </w:r>
      <w:r w:rsidR="00645BB0" w:rsidRPr="00645BB0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645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%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645BB0" w:rsidRPr="00645BB0">
        <w:rPr>
          <w:rFonts w:ascii="Times New Roman" w:hAnsi="Times New Roman" w:cs="Times New Roman"/>
          <w:sz w:val="24"/>
          <w:szCs w:val="24"/>
        </w:rPr>
        <w:t>транспортное средство: Kia Sorento,</w:t>
      </w:r>
      <w:r w:rsidR="00645BB0">
        <w:rPr>
          <w:rFonts w:ascii="Times New Roman" w:hAnsi="Times New Roman" w:cs="Times New Roman"/>
          <w:sz w:val="24"/>
          <w:szCs w:val="24"/>
        </w:rPr>
        <w:t xml:space="preserve"> </w:t>
      </w:r>
      <w:r w:rsidR="00645BB0" w:rsidRPr="00645BB0">
        <w:rPr>
          <w:rFonts w:ascii="Times New Roman" w:hAnsi="Times New Roman" w:cs="Times New Roman"/>
          <w:sz w:val="24"/>
          <w:szCs w:val="24"/>
        </w:rPr>
        <w:t>Идентификационный номер (VIN номер):</w:t>
      </w:r>
      <w:r w:rsidR="00645BB0">
        <w:rPr>
          <w:rFonts w:ascii="Times New Roman" w:hAnsi="Times New Roman" w:cs="Times New Roman"/>
          <w:sz w:val="24"/>
          <w:szCs w:val="24"/>
        </w:rPr>
        <w:t xml:space="preserve"> </w:t>
      </w:r>
      <w:r w:rsidR="00645BB0" w:rsidRPr="00645BB0">
        <w:rPr>
          <w:rFonts w:ascii="Times New Roman" w:hAnsi="Times New Roman" w:cs="Times New Roman"/>
          <w:sz w:val="24"/>
          <w:szCs w:val="24"/>
        </w:rPr>
        <w:t>KNAPS81ABLA634525, Год выпуска: 2019</w:t>
      </w:r>
      <w:r w:rsidR="00645BB0">
        <w:rPr>
          <w:rFonts w:ascii="Times New Roman" w:hAnsi="Times New Roman" w:cs="Times New Roman"/>
          <w:sz w:val="24"/>
          <w:szCs w:val="24"/>
        </w:rPr>
        <w:t xml:space="preserve">, </w:t>
      </w:r>
      <w:r w:rsidR="00645BB0" w:rsidRPr="00645BB0">
        <w:rPr>
          <w:rFonts w:ascii="Times New Roman" w:hAnsi="Times New Roman" w:cs="Times New Roman"/>
          <w:sz w:val="24"/>
          <w:szCs w:val="24"/>
        </w:rPr>
        <w:t>гос.номер Н678ЕВ774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D9C241C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A221AD8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96C8DAF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4845BC6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54C195AB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219799B0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EFC33D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C21CDE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7E41EF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5847E44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</w:t>
      </w:r>
      <w:r w:rsidR="00721D21" w:rsidRPr="00721D21">
        <w:rPr>
          <w:rFonts w:ascii="Times New Roman" w:hAnsi="Times New Roman" w:cs="Times New Roman"/>
          <w:color w:val="000000"/>
          <w:sz w:val="24"/>
          <w:szCs w:val="24"/>
        </w:rPr>
        <w:t xml:space="preserve">65058-ОАОФ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за Лот№ </w:t>
      </w:r>
      <w:r w:rsidR="00645B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46ECA17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</w:t>
      </w:r>
      <w:r w:rsidR="00721D21" w:rsidRPr="00721D21">
        <w:rPr>
          <w:rFonts w:ascii="Times New Roman" w:hAnsi="Times New Roman" w:cs="Times New Roman"/>
          <w:color w:val="000000"/>
          <w:sz w:val="24"/>
          <w:szCs w:val="24"/>
        </w:rPr>
        <w:t>65058-ОАОФ</w:t>
      </w:r>
      <w:r w:rsidR="00721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за Лот№ </w:t>
      </w:r>
      <w:r w:rsidR="00645B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EFC076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t xml:space="preserve">Суханова Артема Борисовича, ИНН 744714831429, Договора купли-продажи, подписать его и вручить один экземпляр лично Суханову Артему Борисовичу, ИНН 744714831429, либо в этот же срок направить Договор купли-продажи Суханову Артему Борисовичу, ИНН 744714831429 почтовым отправлением с описью вложения и уведомлением о вручении на адрес 454090, г. Челябинск, а/я 9160. В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случае</w:t>
      </w:r>
      <w:r w:rsidR="00645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t>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(с указанием почтового отделения, даты и номера отправления) Суханова Артема Борисовича, ИНН 744714831429 (Организатора торгов) (а в случае невозможности личного уведомления – направить Суханову Артему Борисовичу, ИНН 744714831429 (Организатору торгов) в этот же срок соответствующие телеграммы либо уведомление на электронную почту torgi@suhanov74.ru). Перечисленный участником торгов задаток засчитывается в счет оплаты по заключенному договору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5B425A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B16270E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BE50951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CA36255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3300451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C67B15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10B279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3FB265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4FAF149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7A0745E6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0411743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CA4AFA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4F3B106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3DB09B9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510D02E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410F439C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</w:t>
      </w:r>
      <w:r w:rsidR="00C267F3" w:rsidRPr="00111563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о возврате данных задатков.</w:t>
      </w:r>
    </w:p>
    <w:p w14:paraId="01A19BC8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FE1EE8C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9892EC1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36270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E744D5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EC82BB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0420A43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06CB3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FA7105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772B3A5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50690560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800068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4070391" w14:textId="77777777" w:rsidR="00F06C46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="00645BB0" w:rsidRPr="00645BB0">
        <w:rPr>
          <w:sz w:val="24"/>
          <w:szCs w:val="24"/>
        </w:rPr>
        <w:t>Адрес для направления писем и уведомлений Суханову Артему Борисовичу, ИНН 744714831429: 454090, г. Челябинск, а/я 9160. Адрес электронной почты – torgi@suhanov74.ru. Телефон для связи – +79128912158</w:t>
      </w:r>
      <w:r w:rsidR="00645BB0">
        <w:rPr>
          <w:sz w:val="24"/>
          <w:szCs w:val="24"/>
        </w:rPr>
        <w:t>.</w:t>
      </w:r>
    </w:p>
    <w:p w14:paraId="7C20B70D" w14:textId="77777777" w:rsidR="00645BB0" w:rsidRPr="00111563" w:rsidRDefault="00645BB0">
      <w:pPr>
        <w:ind w:firstLine="540"/>
        <w:jc w:val="both"/>
        <w:rPr>
          <w:sz w:val="24"/>
          <w:szCs w:val="24"/>
        </w:rPr>
      </w:pPr>
    </w:p>
    <w:p w14:paraId="0E1B64B6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4BF35EAD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178"/>
        <w:gridCol w:w="3201"/>
      </w:tblGrid>
      <w:tr w:rsidR="00B56F1B" w:rsidRPr="00111563" w14:paraId="2C6E9FED" w14:textId="77777777" w:rsidTr="00FC7533">
        <w:tc>
          <w:tcPr>
            <w:tcW w:w="3284" w:type="dxa"/>
          </w:tcPr>
          <w:p w14:paraId="5283F46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2B44004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6ACBEDC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1367CB21" w14:textId="77777777" w:rsidTr="00FC7533">
        <w:tc>
          <w:tcPr>
            <w:tcW w:w="3284" w:type="dxa"/>
          </w:tcPr>
          <w:p w14:paraId="2AFA0178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4171F2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613DF3C" w14:textId="77777777" w:rsidR="00B56F1B" w:rsidRPr="00645BB0" w:rsidRDefault="00645BB0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BB0">
              <w:rPr>
                <w:b/>
                <w:bCs/>
                <w:sz w:val="24"/>
                <w:szCs w:val="24"/>
              </w:rPr>
              <w:t>Суханов Артем Борисович</w:t>
            </w:r>
          </w:p>
        </w:tc>
      </w:tr>
      <w:tr w:rsidR="00B56F1B" w:rsidRPr="00111563" w14:paraId="653AD562" w14:textId="77777777" w:rsidTr="00FC7533">
        <w:tc>
          <w:tcPr>
            <w:tcW w:w="3284" w:type="dxa"/>
          </w:tcPr>
          <w:p w14:paraId="0FE86BA9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276EE7C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07A7FED1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2E73D64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C2AF847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7837230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096B2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F61FCC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D2B87DA" w14:textId="77777777" w:rsidR="00645BB0" w:rsidRDefault="00645BB0" w:rsidP="00645BB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645BB0">
              <w:rPr>
                <w:sz w:val="24"/>
                <w:szCs w:val="24"/>
              </w:rPr>
              <w:t xml:space="preserve">ИНН 744714831429, СНИЛС 076-845-299 17, Адрес: г. Челябинск, ул. Труда 84, офис 209. </w:t>
            </w:r>
          </w:p>
          <w:p w14:paraId="0A07B86D" w14:textId="77777777" w:rsidR="00B56F1B" w:rsidRPr="00111563" w:rsidRDefault="00645BB0" w:rsidP="00645BB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645BB0">
              <w:rPr>
                <w:sz w:val="24"/>
                <w:szCs w:val="24"/>
              </w:rPr>
              <w:t>Телефон: +79128912158</w:t>
            </w:r>
          </w:p>
        </w:tc>
      </w:tr>
    </w:tbl>
    <w:p w14:paraId="1D18FBC0" w14:textId="77777777" w:rsidR="00645BB0" w:rsidRDefault="00645BB0" w:rsidP="00B56F1B">
      <w:pPr>
        <w:keepNext/>
        <w:jc w:val="both"/>
        <w:rPr>
          <w:sz w:val="24"/>
          <w:szCs w:val="24"/>
        </w:rPr>
      </w:pPr>
    </w:p>
    <w:p w14:paraId="627EC4D9" w14:textId="77777777" w:rsidR="00F06C46" w:rsidRPr="00111563" w:rsidRDefault="00645BB0" w:rsidP="00B56F1B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529957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5FD176A5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01C18232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77AC5B0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A2C20F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9F967F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701740F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4723CE2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43A844DF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2966FA4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6E9C326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946BDF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9F25BB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51B52AC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E3645EB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325225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72A4030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19151B0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59BBB72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116D856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31A338B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DC3100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1F4AD70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1528E6E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D2E72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2B64" w14:textId="77777777" w:rsidR="008570A6" w:rsidRDefault="008570A6">
      <w:r>
        <w:separator/>
      </w:r>
    </w:p>
  </w:endnote>
  <w:endnote w:type="continuationSeparator" w:id="0">
    <w:p w14:paraId="330FFC47" w14:textId="77777777" w:rsidR="008570A6" w:rsidRDefault="0085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DA26" w14:textId="77777777" w:rsidR="008570A6" w:rsidRDefault="008570A6">
      <w:r>
        <w:separator/>
      </w:r>
    </w:p>
  </w:footnote>
  <w:footnote w:type="continuationSeparator" w:id="0">
    <w:p w14:paraId="30C3859D" w14:textId="77777777" w:rsidR="008570A6" w:rsidRDefault="0085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F4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0EC7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592A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45BB0"/>
    <w:rsid w:val="006837EE"/>
    <w:rsid w:val="00691C57"/>
    <w:rsid w:val="0069432A"/>
    <w:rsid w:val="00714762"/>
    <w:rsid w:val="007177B0"/>
    <w:rsid w:val="00721D21"/>
    <w:rsid w:val="007704EE"/>
    <w:rsid w:val="007B7EF2"/>
    <w:rsid w:val="007F1735"/>
    <w:rsid w:val="007F53AA"/>
    <w:rsid w:val="00812698"/>
    <w:rsid w:val="00813852"/>
    <w:rsid w:val="00833407"/>
    <w:rsid w:val="008344A1"/>
    <w:rsid w:val="00841ECA"/>
    <w:rsid w:val="00842405"/>
    <w:rsid w:val="008570A6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17D49"/>
    <w:rsid w:val="00A433B0"/>
    <w:rsid w:val="00A53ABE"/>
    <w:rsid w:val="00A60E92"/>
    <w:rsid w:val="00A60EDB"/>
    <w:rsid w:val="00A72800"/>
    <w:rsid w:val="00A95D78"/>
    <w:rsid w:val="00A97B96"/>
    <w:rsid w:val="00AA6333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FFB766"/>
  <w15:chartTrackingRefBased/>
  <w15:docId w15:val="{AA741647-D8D0-4F1D-AD2D-D54FD6DF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Сивоволова Дарья</cp:lastModifiedBy>
  <cp:revision>2</cp:revision>
  <cp:lastPrinted>2017-03-17T14:23:00Z</cp:lastPrinted>
  <dcterms:created xsi:type="dcterms:W3CDTF">2026-06-03T08:08:00Z</dcterms:created>
  <dcterms:modified xsi:type="dcterms:W3CDTF">2026-06-03T08:08:00Z</dcterms:modified>
</cp:coreProperties>
</file>