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6F20C" w14:textId="556F6B20" w:rsidR="00C803D8" w:rsidRPr="00C803D8" w:rsidRDefault="00C803D8" w:rsidP="00C803D8">
      <w:pPr>
        <w:jc w:val="center"/>
        <w:outlineLvl w:val="0"/>
        <w:rPr>
          <w:rStyle w:val="None"/>
          <w:b/>
          <w:bCs/>
        </w:rPr>
      </w:pPr>
      <w:r w:rsidRPr="00C803D8">
        <w:rPr>
          <w:rStyle w:val="None"/>
          <w:b/>
          <w:bCs/>
        </w:rPr>
        <w:t xml:space="preserve">Извещение о проведении торгов по реализации 1/2 доли в праве на двухкомнатную квартиру, общей площадью 58.9 кв. м., расположенную по адресу: Российская Федерация, город Москва, </w:t>
      </w:r>
      <w:proofErr w:type="spellStart"/>
      <w:r w:rsidRPr="00C803D8">
        <w:rPr>
          <w:rStyle w:val="None"/>
          <w:b/>
          <w:bCs/>
        </w:rPr>
        <w:t>вн</w:t>
      </w:r>
      <w:proofErr w:type="spellEnd"/>
      <w:r w:rsidRPr="00C803D8">
        <w:rPr>
          <w:rStyle w:val="None"/>
          <w:b/>
          <w:bCs/>
        </w:rPr>
        <w:t xml:space="preserve">. тер. г. муниципальный округ Чертаново Центральное, улица </w:t>
      </w:r>
      <w:proofErr w:type="spellStart"/>
      <w:r w:rsidRPr="00C803D8">
        <w:rPr>
          <w:rStyle w:val="None"/>
          <w:b/>
          <w:bCs/>
        </w:rPr>
        <w:t>Чертановская</w:t>
      </w:r>
      <w:proofErr w:type="spellEnd"/>
      <w:r w:rsidRPr="00C803D8">
        <w:rPr>
          <w:rStyle w:val="None"/>
          <w:b/>
          <w:bCs/>
        </w:rPr>
        <w:t>,</w:t>
      </w:r>
      <w:r>
        <w:rPr>
          <w:rStyle w:val="None"/>
          <w:b/>
          <w:bCs/>
        </w:rPr>
        <w:t xml:space="preserve"> дом 36, корпус 1, квартира 181</w:t>
      </w:r>
    </w:p>
    <w:p w14:paraId="59F0B177" w14:textId="77777777" w:rsidR="00C803D8" w:rsidRPr="00C803D8" w:rsidRDefault="00C803D8" w:rsidP="00C803D8">
      <w:pPr>
        <w:outlineLvl w:val="0"/>
        <w:rPr>
          <w:rStyle w:val="None"/>
          <w:b/>
          <w:bCs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05A9CE02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>
        <w:rPr>
          <w:rStyle w:val="None"/>
        </w:rPr>
        <w:t>Физическое лицо</w:t>
      </w:r>
      <w:r>
        <w:rPr>
          <w:rStyle w:val="None"/>
          <w:b/>
          <w:bCs/>
        </w:rPr>
        <w:t xml:space="preserve"> </w:t>
      </w:r>
      <w:r w:rsidR="00C803D8">
        <w:rPr>
          <w:rStyle w:val="None"/>
        </w:rPr>
        <w:t xml:space="preserve">М.С. </w:t>
      </w:r>
      <w:proofErr w:type="spellStart"/>
      <w:r w:rsidR="00C803D8">
        <w:rPr>
          <w:rStyle w:val="None"/>
        </w:rPr>
        <w:t>Муртузов</w:t>
      </w:r>
      <w:proofErr w:type="spellEnd"/>
      <w:r>
        <w:rPr>
          <w:rStyle w:val="None"/>
        </w:rPr>
        <w:t xml:space="preserve"> 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63732C3F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публичного предложени</w:t>
      </w:r>
      <w:r w:rsidR="00B303C8">
        <w:rPr>
          <w:rStyle w:val="None"/>
        </w:rPr>
        <w:t>я -</w:t>
      </w:r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0AEAD4FF" w:rsidR="000958B1" w:rsidRDefault="000958B1" w:rsidP="000958B1">
      <w:pPr>
        <w:jc w:val="both"/>
        <w:rPr>
          <w:rStyle w:val="None"/>
        </w:rPr>
      </w:pPr>
      <w:r w:rsidRPr="00D9151C">
        <w:rPr>
          <w:rStyle w:val="None"/>
        </w:rPr>
        <w:t xml:space="preserve">Прием заявок осуществляется с </w:t>
      </w:r>
      <w:r w:rsidR="003837F2" w:rsidRPr="00D9151C">
        <w:rPr>
          <w:rStyle w:val="None"/>
          <w:b/>
          <w:bCs/>
        </w:rPr>
        <w:t>00</w:t>
      </w:r>
      <w:r w:rsidRPr="00D9151C">
        <w:rPr>
          <w:rStyle w:val="None"/>
          <w:b/>
          <w:bCs/>
        </w:rPr>
        <w:t>:00</w:t>
      </w:r>
      <w:r w:rsidRPr="00D9151C">
        <w:rPr>
          <w:rStyle w:val="None"/>
        </w:rPr>
        <w:t xml:space="preserve"> часов </w:t>
      </w:r>
      <w:r w:rsidR="00C803D8" w:rsidRPr="00D9151C">
        <w:rPr>
          <w:rStyle w:val="None"/>
          <w:b/>
          <w:bCs/>
        </w:rPr>
        <w:t>1</w:t>
      </w:r>
      <w:r w:rsidR="00D9151C" w:rsidRPr="00D9151C">
        <w:rPr>
          <w:rStyle w:val="None"/>
          <w:b/>
          <w:bCs/>
        </w:rPr>
        <w:t>5</w:t>
      </w:r>
      <w:r w:rsidRPr="00D9151C">
        <w:rPr>
          <w:rStyle w:val="None"/>
          <w:b/>
          <w:bCs/>
        </w:rPr>
        <w:t>.</w:t>
      </w:r>
      <w:r w:rsidR="00C803D8" w:rsidRPr="00D9151C">
        <w:rPr>
          <w:rStyle w:val="None"/>
          <w:b/>
          <w:bCs/>
        </w:rPr>
        <w:t>0</w:t>
      </w:r>
      <w:r w:rsidR="00D9151C" w:rsidRPr="00D9151C">
        <w:rPr>
          <w:rStyle w:val="None"/>
          <w:b/>
          <w:bCs/>
        </w:rPr>
        <w:t>6</w:t>
      </w:r>
      <w:r w:rsidRPr="00D9151C">
        <w:rPr>
          <w:rStyle w:val="None"/>
          <w:b/>
          <w:bCs/>
        </w:rPr>
        <w:t>.202</w:t>
      </w:r>
      <w:r w:rsidR="00C803D8" w:rsidRPr="00D9151C">
        <w:rPr>
          <w:rStyle w:val="None"/>
          <w:b/>
          <w:bCs/>
        </w:rPr>
        <w:t>6</w:t>
      </w:r>
      <w:r w:rsidRPr="00D9151C">
        <w:rPr>
          <w:rStyle w:val="None"/>
          <w:b/>
          <w:bCs/>
        </w:rPr>
        <w:t xml:space="preserve"> г</w:t>
      </w:r>
      <w:r w:rsidRPr="00D9151C">
        <w:rPr>
          <w:rStyle w:val="None"/>
        </w:rPr>
        <w:t xml:space="preserve">. до </w:t>
      </w:r>
      <w:r w:rsidR="00F27E4B" w:rsidRPr="00D9151C">
        <w:rPr>
          <w:rStyle w:val="None"/>
          <w:b/>
          <w:bCs/>
        </w:rPr>
        <w:t>23</w:t>
      </w:r>
      <w:r w:rsidRPr="00D9151C">
        <w:rPr>
          <w:rStyle w:val="None"/>
          <w:b/>
          <w:bCs/>
        </w:rPr>
        <w:t>:</w:t>
      </w:r>
      <w:r w:rsidR="00F27E4B" w:rsidRPr="00D9151C">
        <w:rPr>
          <w:rStyle w:val="None"/>
          <w:b/>
          <w:bCs/>
        </w:rPr>
        <w:t>59</w:t>
      </w:r>
      <w:r w:rsidRPr="00D9151C">
        <w:rPr>
          <w:rStyle w:val="None"/>
        </w:rPr>
        <w:t xml:space="preserve"> часов </w:t>
      </w:r>
      <w:r w:rsidR="00D9151C" w:rsidRPr="00D9151C">
        <w:rPr>
          <w:rStyle w:val="None"/>
          <w:b/>
          <w:bCs/>
        </w:rPr>
        <w:t>04</w:t>
      </w:r>
      <w:r w:rsidRPr="00D9151C">
        <w:rPr>
          <w:rStyle w:val="None"/>
          <w:b/>
          <w:bCs/>
        </w:rPr>
        <w:t>.</w:t>
      </w:r>
      <w:r w:rsidR="000D7C92" w:rsidRPr="00D9151C">
        <w:rPr>
          <w:rStyle w:val="None"/>
          <w:b/>
          <w:bCs/>
        </w:rPr>
        <w:t>0</w:t>
      </w:r>
      <w:r w:rsidR="00D9151C" w:rsidRPr="00D9151C">
        <w:rPr>
          <w:rStyle w:val="None"/>
          <w:b/>
          <w:bCs/>
        </w:rPr>
        <w:t>7</w:t>
      </w:r>
      <w:r w:rsidR="003A4DF3" w:rsidRPr="00D9151C">
        <w:rPr>
          <w:rStyle w:val="None"/>
          <w:b/>
          <w:bCs/>
        </w:rPr>
        <w:t>.202</w:t>
      </w:r>
      <w:r w:rsidR="000D7C92" w:rsidRPr="00D9151C">
        <w:rPr>
          <w:rStyle w:val="None"/>
          <w:b/>
          <w:bCs/>
        </w:rPr>
        <w:t>6</w:t>
      </w:r>
      <w:r w:rsidR="003A4DF3" w:rsidRPr="00D9151C">
        <w:rPr>
          <w:rStyle w:val="None"/>
          <w:b/>
          <w:bCs/>
        </w:rPr>
        <w:t xml:space="preserve"> </w:t>
      </w:r>
      <w:r w:rsidRPr="00D9151C">
        <w:rPr>
          <w:rStyle w:val="None"/>
          <w:b/>
          <w:bCs/>
        </w:rPr>
        <w:t>г.</w:t>
      </w:r>
      <w:r w:rsidR="00ED6351" w:rsidRPr="00D9151C">
        <w:rPr>
          <w:rStyle w:val="None"/>
        </w:rPr>
        <w:t xml:space="preserve"> по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p w14:paraId="3EA33AEC" w14:textId="77777777" w:rsidR="00ED6351" w:rsidRPr="00F27E4B" w:rsidRDefault="00ED6351" w:rsidP="000958B1">
      <w:pPr>
        <w:jc w:val="both"/>
        <w:rPr>
          <w:rStyle w:val="None"/>
          <w:b/>
          <w:bCs/>
        </w:rPr>
      </w:pPr>
    </w:p>
    <w:bookmarkEnd w:id="0"/>
    <w:p w14:paraId="0425C83D" w14:textId="77777777" w:rsidR="00F06F25" w:rsidRPr="00290842" w:rsidRDefault="00F06F25" w:rsidP="00F27E4B">
      <w:pPr>
        <w:rPr>
          <w:bCs/>
        </w:rPr>
      </w:pPr>
    </w:p>
    <w:p w14:paraId="60249898" w14:textId="76FEF54D" w:rsidR="00D9151C" w:rsidRDefault="00054429" w:rsidP="00D9151C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2E15955E" w14:textId="77777777" w:rsidR="00D9151C" w:rsidRPr="00D9151C" w:rsidRDefault="00D9151C" w:rsidP="00D9151C">
      <w:pPr>
        <w:rPr>
          <w:b/>
          <w:bCs/>
          <w:shd w:val="clear" w:color="auto" w:fill="FFFFFF"/>
        </w:rPr>
      </w:pPr>
    </w:p>
    <w:p w14:paraId="397D2D35" w14:textId="4906001D" w:rsidR="00D9151C" w:rsidRPr="00C803D8" w:rsidRDefault="005412DC" w:rsidP="00C803D8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447E2A78" w14:textId="77777777" w:rsidR="00C803D8" w:rsidRDefault="00C803D8" w:rsidP="00C803D8">
      <w:pPr>
        <w:tabs>
          <w:tab w:val="left" w:pos="5145"/>
        </w:tabs>
        <w:jc w:val="both"/>
      </w:pPr>
      <w:r w:rsidRPr="000D7C92">
        <w:rPr>
          <w:b/>
        </w:rPr>
        <w:t>1/2</w:t>
      </w:r>
      <w:r>
        <w:t xml:space="preserve"> доли в праве на двухкомнатную квартиру, общей площадью 58.9 кв. м., расположенную по адресу: Российская Федерация, город Москва, </w:t>
      </w:r>
      <w:proofErr w:type="spellStart"/>
      <w:r>
        <w:t>вн</w:t>
      </w:r>
      <w:proofErr w:type="spellEnd"/>
      <w:r>
        <w:t xml:space="preserve">. тер. г. муниципальный округ Чертаново Центральное, улица </w:t>
      </w:r>
      <w:proofErr w:type="spellStart"/>
      <w:r>
        <w:t>Чертановская</w:t>
      </w:r>
      <w:proofErr w:type="spellEnd"/>
      <w:r>
        <w:t xml:space="preserve">, дом 36, корпус 1, квартира 181. </w:t>
      </w:r>
    </w:p>
    <w:p w14:paraId="4D4474DF" w14:textId="77777777" w:rsidR="00C803D8" w:rsidRDefault="00C803D8" w:rsidP="00C803D8">
      <w:pPr>
        <w:tabs>
          <w:tab w:val="left" w:pos="5145"/>
        </w:tabs>
        <w:jc w:val="both"/>
      </w:pPr>
    </w:p>
    <w:p w14:paraId="718E7AC4" w14:textId="564473F0" w:rsidR="00C803D8" w:rsidRDefault="00C803D8" w:rsidP="00C803D8">
      <w:pPr>
        <w:tabs>
          <w:tab w:val="left" w:pos="5145"/>
        </w:tabs>
        <w:jc w:val="both"/>
      </w:pPr>
      <w:r>
        <w:t xml:space="preserve">1 (первый) этаж. </w:t>
      </w:r>
    </w:p>
    <w:p w14:paraId="6696F25F" w14:textId="2EA0B6C3" w:rsidR="00C803D8" w:rsidRDefault="00C803D8" w:rsidP="00C803D8">
      <w:pPr>
        <w:tabs>
          <w:tab w:val="left" w:pos="5145"/>
        </w:tabs>
        <w:jc w:val="both"/>
      </w:pPr>
      <w:r>
        <w:t>Кадастровый номер: 77:05:0007001:7685</w:t>
      </w:r>
    </w:p>
    <w:p w14:paraId="1C066FDA" w14:textId="77777777" w:rsidR="00D9151C" w:rsidRDefault="00D9151C" w:rsidP="00B303C8">
      <w:pPr>
        <w:tabs>
          <w:tab w:val="left" w:pos="5145"/>
        </w:tabs>
        <w:jc w:val="both"/>
        <w:rPr>
          <w:b/>
        </w:rPr>
      </w:pPr>
    </w:p>
    <w:p w14:paraId="1E518011" w14:textId="57B33497" w:rsidR="00B303C8" w:rsidRPr="00C803D8" w:rsidRDefault="00C803D8" w:rsidP="00B303C8">
      <w:pPr>
        <w:tabs>
          <w:tab w:val="left" w:pos="5145"/>
        </w:tabs>
        <w:jc w:val="both"/>
      </w:pPr>
      <w:r w:rsidRPr="00C803D8">
        <w:rPr>
          <w:b/>
        </w:rPr>
        <w:t>Обременения (ограничения):</w:t>
      </w:r>
      <w:r w:rsidR="00D9151C">
        <w:t xml:space="preserve"> </w:t>
      </w:r>
      <w:proofErr w:type="gramStart"/>
      <w:r w:rsidRPr="00D9151C">
        <w:rPr>
          <w:b/>
        </w:rPr>
        <w:t>В</w:t>
      </w:r>
      <w:proofErr w:type="gramEnd"/>
      <w:r w:rsidRPr="00D9151C">
        <w:rPr>
          <w:b/>
        </w:rPr>
        <w:t xml:space="preserve"> квартире имеются прописанные и проживающие граждане.</w:t>
      </w:r>
      <w:r>
        <w:br/>
      </w:r>
    </w:p>
    <w:p w14:paraId="07BDC535" w14:textId="27BCA6AC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B303C8">
        <w:t>1</w:t>
      </w:r>
      <w:r w:rsidR="00C803D8">
        <w:t>2</w:t>
      </w:r>
      <w:r w:rsidR="00B303C8">
        <w:t xml:space="preserve"> </w:t>
      </w:r>
      <w:r w:rsidR="00C803D8">
        <w:t>000</w:t>
      </w:r>
      <w:r w:rsidR="00B303C8">
        <w:t xml:space="preserve"> 000,00 </w:t>
      </w:r>
      <w:r w:rsidR="007C5BA9">
        <w:t>рублей (</w:t>
      </w:r>
      <w:r w:rsidR="00C803D8">
        <w:t>НДС не облагается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02CF878F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D9151C">
        <w:rPr>
          <w:bCs/>
          <w:color w:val="000000"/>
          <w:szCs w:val="22"/>
        </w:rPr>
        <w:t>5</w:t>
      </w:r>
      <w:r w:rsidR="00C803D8">
        <w:rPr>
          <w:bCs/>
          <w:color w:val="000000"/>
          <w:szCs w:val="22"/>
        </w:rPr>
        <w:t> </w:t>
      </w:r>
      <w:r w:rsidR="00D9151C">
        <w:rPr>
          <w:bCs/>
          <w:color w:val="000000"/>
          <w:szCs w:val="22"/>
        </w:rPr>
        <w:t>7</w:t>
      </w:r>
      <w:r w:rsidR="00C803D8">
        <w:rPr>
          <w:bCs/>
          <w:color w:val="000000"/>
          <w:szCs w:val="22"/>
        </w:rPr>
        <w:t>00 000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C803D8">
        <w:rPr>
          <w:color w:val="000000"/>
          <w:szCs w:val="22"/>
        </w:rPr>
        <w:t>НДС не облагается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185650FB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C803D8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0362F42A" w14:textId="77777777" w:rsidR="00290842" w:rsidRP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070B7887" w:rsidR="00E05DA4" w:rsidRPr="002C4DF4" w:rsidRDefault="00C803D8" w:rsidP="00D91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9151C">
              <w:rPr>
                <w:color w:val="000000"/>
              </w:rPr>
              <w:t>5</w:t>
            </w:r>
            <w:r>
              <w:rPr>
                <w:color w:val="000000"/>
              </w:rPr>
              <w:t>.0</w:t>
            </w:r>
            <w:r w:rsidR="00D9151C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B303C8">
              <w:rPr>
                <w:color w:val="000000"/>
              </w:rPr>
              <w:t>1</w:t>
            </w:r>
            <w:r w:rsidR="00D9151C">
              <w:rPr>
                <w:color w:val="000000"/>
              </w:rPr>
              <w:t>9</w:t>
            </w:r>
            <w:r w:rsidR="001B45A3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="00D9151C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07DF1D99" w:rsidR="00E05DA4" w:rsidRPr="002C4DF4" w:rsidRDefault="008B341B" w:rsidP="00C803D8">
            <w:pPr>
              <w:jc w:val="center"/>
            </w:pPr>
            <w:r>
              <w:rPr>
                <w:shd w:val="clear" w:color="auto" w:fill="FFFFFF"/>
              </w:rPr>
              <w:t xml:space="preserve"> </w:t>
            </w:r>
            <w:r w:rsidR="00B303C8" w:rsidRPr="00B303C8">
              <w:rPr>
                <w:shd w:val="clear" w:color="auto" w:fill="FFFFFF"/>
              </w:rPr>
              <w:t>1</w:t>
            </w:r>
            <w:r w:rsidR="00C803D8">
              <w:rPr>
                <w:shd w:val="clear" w:color="auto" w:fill="FFFFFF"/>
              </w:rPr>
              <w:t>2</w:t>
            </w:r>
            <w:r w:rsidR="00B303C8" w:rsidRPr="00B303C8">
              <w:rPr>
                <w:shd w:val="clear" w:color="auto" w:fill="FFFFFF"/>
              </w:rPr>
              <w:t xml:space="preserve"> </w:t>
            </w:r>
            <w:r w:rsidR="00C803D8">
              <w:rPr>
                <w:shd w:val="clear" w:color="auto" w:fill="FFFFFF"/>
              </w:rPr>
              <w:t>000</w:t>
            </w:r>
            <w:r w:rsidR="00B303C8">
              <w:rPr>
                <w:shd w:val="clear" w:color="auto" w:fill="FFFFFF"/>
              </w:rPr>
              <w:t> </w:t>
            </w:r>
            <w:r w:rsidR="00B303C8" w:rsidRPr="00B303C8">
              <w:rPr>
                <w:shd w:val="clear" w:color="auto" w:fill="FFFFFF"/>
              </w:rPr>
              <w:t>000</w:t>
            </w:r>
            <w:r w:rsidR="00B303C8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169CDA33" w:rsidR="00E05DA4" w:rsidRPr="002C4DF4" w:rsidRDefault="00C803D8" w:rsidP="00F70F23">
            <w:pPr>
              <w:jc w:val="center"/>
            </w:pPr>
            <w:r>
              <w:t>1 200 000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7870C130" w:rsidR="00E05DA4" w:rsidRPr="002C4DF4" w:rsidRDefault="00D9151C" w:rsidP="00D91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B45A3" w:rsidRPr="002C4DF4">
              <w:rPr>
                <w:color w:val="000000"/>
              </w:rPr>
              <w:t>.</w:t>
            </w:r>
            <w:r w:rsidR="00C803D8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C803D8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24</w:t>
            </w:r>
            <w:r w:rsidR="001B45A3" w:rsidRPr="002C4DF4">
              <w:rPr>
                <w:color w:val="000000"/>
              </w:rPr>
              <w:t>.</w:t>
            </w:r>
            <w:r w:rsidR="00C803D8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C803D8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35A69CBA" w:rsidR="00E05DA4" w:rsidRPr="002C4DF4" w:rsidRDefault="003837F2" w:rsidP="00C803D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</w:t>
            </w:r>
            <w:r w:rsidR="00C803D8">
              <w:rPr>
                <w:shd w:val="clear" w:color="auto" w:fill="FFFFFF"/>
              </w:rPr>
              <w:t>10</w:t>
            </w:r>
            <w:r w:rsidR="00B303C8" w:rsidRPr="00B303C8">
              <w:rPr>
                <w:shd w:val="clear" w:color="auto" w:fill="FFFFFF"/>
              </w:rPr>
              <w:t xml:space="preserve"> </w:t>
            </w:r>
            <w:r w:rsidR="00C803D8">
              <w:rPr>
                <w:shd w:val="clear" w:color="auto" w:fill="FFFFFF"/>
              </w:rPr>
              <w:t>000</w:t>
            </w:r>
            <w:r w:rsidR="00B303C8">
              <w:rPr>
                <w:shd w:val="clear" w:color="auto" w:fill="FFFFFF"/>
              </w:rPr>
              <w:t> </w:t>
            </w:r>
            <w:r w:rsidR="00C803D8">
              <w:rPr>
                <w:shd w:val="clear" w:color="auto" w:fill="FFFFFF"/>
              </w:rPr>
              <w:t>0</w:t>
            </w:r>
            <w:r w:rsidR="00B303C8" w:rsidRPr="00B303C8">
              <w:rPr>
                <w:shd w:val="clear" w:color="auto" w:fill="FFFFFF"/>
              </w:rPr>
              <w:t>00</w:t>
            </w:r>
            <w:r w:rsidR="00B303C8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7EC63CBE" w:rsidR="00E05DA4" w:rsidRPr="002C4DF4" w:rsidRDefault="00C803D8" w:rsidP="003837F2">
            <w:pPr>
              <w:jc w:val="center"/>
            </w:pPr>
            <w:r>
              <w:t>1 000 000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65BA722C" w:rsidR="00E05DA4" w:rsidRPr="002C4DF4" w:rsidRDefault="00C803D8" w:rsidP="00D91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151C">
              <w:rPr>
                <w:color w:val="000000"/>
              </w:rPr>
              <w:t>5</w:t>
            </w:r>
            <w:r w:rsidR="00E9248F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="00D9151C"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>.202</w:t>
            </w:r>
            <w:r w:rsidR="000D7C92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B303C8">
              <w:rPr>
                <w:color w:val="000000"/>
              </w:rPr>
              <w:t>2</w:t>
            </w:r>
            <w:r w:rsidR="00D9151C">
              <w:rPr>
                <w:color w:val="000000"/>
              </w:rPr>
              <w:t>9</w:t>
            </w:r>
            <w:r w:rsidR="004A1DC1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="00D9151C">
              <w:rPr>
                <w:color w:val="000000"/>
              </w:rPr>
              <w:t>6</w:t>
            </w:r>
            <w:r w:rsidR="002D4507" w:rsidRPr="002C4DF4">
              <w:rPr>
                <w:color w:val="000000"/>
              </w:rPr>
              <w:t>.202</w:t>
            </w:r>
            <w:r w:rsidR="000D7C92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1F5CFE5B" w:rsidR="00E05DA4" w:rsidRPr="002C4DF4" w:rsidRDefault="000D7C92" w:rsidP="002C4DF4">
            <w:pPr>
              <w:jc w:val="center"/>
            </w:pPr>
            <w:r>
              <w:t>8 000 000</w:t>
            </w:r>
            <w:r w:rsidR="00B303C8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165CFB28" w:rsidR="00E05DA4" w:rsidRPr="002C4DF4" w:rsidRDefault="000D7C92" w:rsidP="000D7C92">
            <w:pPr>
              <w:jc w:val="center"/>
            </w:pPr>
            <w:r>
              <w:t>800</w:t>
            </w:r>
            <w:r w:rsidR="008B341B">
              <w:t xml:space="preserve"> </w:t>
            </w:r>
            <w:r>
              <w:t>000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079C9007" w:rsidR="00E05DA4" w:rsidRPr="002C4DF4" w:rsidRDefault="00D9151C" w:rsidP="00D91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B45A3" w:rsidRPr="002C4DF4">
              <w:rPr>
                <w:color w:val="000000"/>
              </w:rPr>
              <w:t>.</w:t>
            </w:r>
            <w:r w:rsidR="000D7C92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0D7C92">
              <w:rPr>
                <w:color w:val="000000"/>
              </w:rPr>
              <w:t xml:space="preserve">6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04</w:t>
            </w:r>
            <w:r w:rsidR="007C628F" w:rsidRPr="002C4DF4">
              <w:rPr>
                <w:color w:val="000000"/>
              </w:rPr>
              <w:t>.</w:t>
            </w:r>
            <w:r w:rsidR="000D7C92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0D7C92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7EE584C5" w:rsidR="00E05DA4" w:rsidRPr="002C4DF4" w:rsidRDefault="00D9151C" w:rsidP="00D9151C">
            <w:pPr>
              <w:jc w:val="center"/>
            </w:pPr>
            <w:r>
              <w:rPr>
                <w:shd w:val="clear" w:color="auto" w:fill="FFFFFF"/>
              </w:rPr>
              <w:t>5</w:t>
            </w:r>
            <w:r w:rsidR="000D7C92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7</w:t>
            </w:r>
            <w:r w:rsidR="000D7C92">
              <w:rPr>
                <w:shd w:val="clear" w:color="auto" w:fill="FFFFFF"/>
              </w:rPr>
              <w:t>00 000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375D9413" w:rsidR="00E05DA4" w:rsidRPr="002C4DF4" w:rsidRDefault="00D9151C" w:rsidP="00443DA4">
            <w:pPr>
              <w:jc w:val="center"/>
            </w:pPr>
            <w:r>
              <w:t>57</w:t>
            </w:r>
            <w:r w:rsidR="000D7C92">
              <w:t>0 000</w:t>
            </w:r>
          </w:p>
        </w:tc>
      </w:tr>
    </w:tbl>
    <w:p w14:paraId="3CD66934" w14:textId="75562580" w:rsidR="008B4D19" w:rsidRDefault="008B4D19" w:rsidP="008B4D19">
      <w:pPr>
        <w:ind w:right="-57" w:firstLine="540"/>
        <w:jc w:val="both"/>
      </w:pPr>
      <w:r w:rsidRPr="00290842">
        <w:lastRenderedPageBreak/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7703C797" w14:textId="77777777" w:rsidR="000D7C92" w:rsidRPr="007040F5" w:rsidRDefault="000D7C92" w:rsidP="003A4DF3">
      <w:pPr>
        <w:spacing w:after="120"/>
        <w:jc w:val="both"/>
        <w:rPr>
          <w:b/>
        </w:rPr>
      </w:pP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7B700B60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C803D8">
        <w:rPr>
          <w:b/>
          <w:color w:val="000000"/>
        </w:rPr>
        <w:t>М</w:t>
      </w:r>
      <w:r w:rsidR="000958B1">
        <w:rPr>
          <w:b/>
          <w:color w:val="000000"/>
        </w:rPr>
        <w:t>.</w:t>
      </w:r>
      <w:r w:rsidR="00C803D8">
        <w:rPr>
          <w:b/>
          <w:color w:val="000000"/>
        </w:rPr>
        <w:t>С</w:t>
      </w:r>
      <w:r w:rsidR="000958B1">
        <w:rPr>
          <w:b/>
          <w:color w:val="000000"/>
        </w:rPr>
        <w:t xml:space="preserve">. </w:t>
      </w:r>
      <w:proofErr w:type="spellStart"/>
      <w:r w:rsidR="00C803D8">
        <w:rPr>
          <w:b/>
          <w:color w:val="000000"/>
        </w:rPr>
        <w:t>Муртузову</w:t>
      </w:r>
      <w:proofErr w:type="spellEnd"/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D9151C" w:rsidRDefault="00B9060F" w:rsidP="00B9060F">
      <w:pPr>
        <w:jc w:val="both"/>
        <w:outlineLvl w:val="0"/>
        <w:rPr>
          <w:b/>
        </w:rPr>
      </w:pPr>
      <w:r w:rsidRPr="00D9151C">
        <w:rPr>
          <w:b/>
        </w:rPr>
        <w:t>3. 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lastRenderedPageBreak/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</w:t>
      </w:r>
      <w:r w:rsidR="00853BD8" w:rsidRPr="003032A7">
        <w:rPr>
          <w:shd w:val="clear" w:color="auto" w:fill="FFFFFF"/>
        </w:rPr>
        <w:lastRenderedPageBreak/>
        <w:t>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bookmarkStart w:id="1" w:name="_GoBack"/>
      <w:r w:rsidR="00EE79B8" w:rsidRPr="00D9151C">
        <w:rPr>
          <w:b/>
        </w:rPr>
        <w:t>5</w:t>
      </w:r>
      <w:bookmarkEnd w:id="1"/>
      <w:r w:rsidR="00EE79B8">
        <w:t xml:space="preserve">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632C0948" w:rsidR="006E5A1C" w:rsidRDefault="006E5A1C" w:rsidP="000D7C92">
      <w:pPr>
        <w:ind w:firstLine="709"/>
        <w:jc w:val="both"/>
        <w:rPr>
          <w:b/>
        </w:rPr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</w:t>
      </w:r>
      <w:r w:rsidR="000D7C92">
        <w:t xml:space="preserve"> </w:t>
      </w:r>
      <w:r w:rsidR="000D7C92" w:rsidRPr="00342DF0">
        <w:rPr>
          <w:b/>
          <w:snapToGrid w:val="0"/>
        </w:rPr>
        <w:t>(</w:t>
      </w:r>
      <w:r w:rsidR="000D7C92" w:rsidRPr="00D37850">
        <w:rPr>
          <w:b/>
          <w:snapToGrid w:val="0"/>
        </w:rPr>
        <w:t>при условии, что лицо, обладающее преимущественным правом покупки, не приобретет имущество</w:t>
      </w:r>
      <w:r w:rsidR="000D7C92">
        <w:rPr>
          <w:b/>
          <w:snapToGrid w:val="0"/>
        </w:rPr>
        <w:t>)</w:t>
      </w:r>
      <w:r w:rsidR="000D7C92" w:rsidRPr="00D37850">
        <w:rPr>
          <w:b/>
          <w:snapToGrid w:val="0"/>
        </w:rPr>
        <w:t>.</w:t>
      </w:r>
      <w:r w:rsidR="000D7C92" w:rsidRPr="00D37850">
        <w:rPr>
          <w:b/>
        </w:rPr>
        <w:t xml:space="preserve"> </w:t>
      </w:r>
    </w:p>
    <w:p w14:paraId="2B6D0492" w14:textId="77777777" w:rsidR="000D7C92" w:rsidRPr="000D7C92" w:rsidRDefault="000D7C92" w:rsidP="000D7C92">
      <w:pPr>
        <w:jc w:val="both"/>
        <w:rPr>
          <w:b/>
        </w:rPr>
      </w:pPr>
    </w:p>
    <w:p w14:paraId="439D57FB" w14:textId="1D367A2F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>Оплата цены продажи имущества, установленная в ходе продаж</w:t>
      </w:r>
      <w:r w:rsidR="00D9151C">
        <w:t>и</w:t>
      </w:r>
      <w:r w:rsidRPr="002D4507">
        <w:t xml:space="preserve">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5FAD7D8F" w14:textId="77777777" w:rsidR="000D7C92" w:rsidRDefault="006E5A1C" w:rsidP="000D7C92">
      <w:pPr>
        <w:ind w:firstLine="709"/>
        <w:jc w:val="both"/>
        <w:rPr>
          <w:b/>
          <w:snapToGrid w:val="0"/>
        </w:rPr>
      </w:pPr>
      <w:r w:rsidRPr="002D4507">
        <w:t>Переход имущества от Продавца к Победителю продажи осуществляется в порядке и сроки согласно договору купли-продажи</w:t>
      </w:r>
      <w:r w:rsidR="000D7C92">
        <w:t xml:space="preserve"> </w:t>
      </w:r>
      <w:r w:rsidR="000D7C92" w:rsidRPr="00A933C8">
        <w:rPr>
          <w:rStyle w:val="None"/>
          <w:b/>
        </w:rPr>
        <w:t>(</w:t>
      </w:r>
      <w:r w:rsidR="000D7C92" w:rsidRPr="00D37850">
        <w:rPr>
          <w:b/>
          <w:snapToGrid w:val="0"/>
        </w:rPr>
        <w:t>при условии, что лицо, обладающее преимущественным правом покупки, не приобретет имущество)</w:t>
      </w:r>
      <w:r w:rsidR="000D7C92">
        <w:rPr>
          <w:b/>
          <w:snapToGrid w:val="0"/>
        </w:rPr>
        <w:t>.</w:t>
      </w:r>
    </w:p>
    <w:p w14:paraId="1B0C1F1F" w14:textId="1DB6AF5E" w:rsidR="006E5A1C" w:rsidRPr="002D4507" w:rsidRDefault="000D7C92" w:rsidP="000D7C92">
      <w:pPr>
        <w:ind w:firstLine="709"/>
        <w:jc w:val="both"/>
      </w:pPr>
      <w:r>
        <w:rPr>
          <w:b/>
          <w:snapToGrid w:val="0"/>
        </w:rPr>
        <w:t xml:space="preserve"> </w:t>
      </w:r>
    </w:p>
    <w:p w14:paraId="49D26EA0" w14:textId="38AD4762" w:rsidR="00D9151C" w:rsidRDefault="006E5A1C" w:rsidP="00D9151C">
      <w:pPr>
        <w:ind w:firstLine="709"/>
        <w:jc w:val="both"/>
        <w:rPr>
          <w:b/>
        </w:rPr>
      </w:pPr>
      <w:r w:rsidRPr="002D4507">
        <w:rPr>
          <w:color w:val="000000"/>
        </w:rPr>
        <w:t xml:space="preserve">Задаток, перечисленный Победителем для участия в </w:t>
      </w:r>
      <w:r w:rsidRPr="002D4507">
        <w:t>продаже</w:t>
      </w:r>
      <w:r w:rsidR="00D9151C">
        <w:t xml:space="preserve"> посредством публичного предложения</w:t>
      </w:r>
      <w:r w:rsidRPr="002D4507">
        <w:rPr>
          <w:color w:val="000000"/>
        </w:rPr>
        <w:t>, засчитывается в счет оплаты имущества</w:t>
      </w:r>
      <w:r w:rsidR="00D9151C">
        <w:rPr>
          <w:color w:val="000000"/>
        </w:rPr>
        <w:t xml:space="preserve"> и переводится Продавцу в </w:t>
      </w:r>
      <w:r w:rsidR="00D9151C" w:rsidRPr="002D4507">
        <w:t xml:space="preserve">течение </w:t>
      </w:r>
      <w:r w:rsidR="00D9151C">
        <w:t>5</w:t>
      </w:r>
      <w:r w:rsidR="00D9151C" w:rsidRPr="002D4507">
        <w:t xml:space="preserve"> </w:t>
      </w:r>
      <w:r w:rsidR="00D9151C">
        <w:t>рабочих</w:t>
      </w:r>
      <w:r w:rsidR="00D9151C" w:rsidRPr="002D4507">
        <w:t xml:space="preserve"> дней с даты подведения итогов продажи</w:t>
      </w:r>
      <w:r w:rsidR="00D9151C">
        <w:t xml:space="preserve"> </w:t>
      </w:r>
      <w:r w:rsidR="00D9151C" w:rsidRPr="00342DF0">
        <w:rPr>
          <w:b/>
          <w:snapToGrid w:val="0"/>
        </w:rPr>
        <w:t>(</w:t>
      </w:r>
      <w:r w:rsidR="00D9151C" w:rsidRPr="00D37850">
        <w:rPr>
          <w:b/>
          <w:snapToGrid w:val="0"/>
        </w:rPr>
        <w:t>при условии, что лицо, обладающее преимущественным правом покупки, не приобретет имущество</w:t>
      </w:r>
      <w:r w:rsidR="00D9151C">
        <w:rPr>
          <w:b/>
          <w:snapToGrid w:val="0"/>
        </w:rPr>
        <w:t>)</w:t>
      </w:r>
      <w:r w:rsidR="00D9151C" w:rsidRPr="00D37850">
        <w:rPr>
          <w:b/>
          <w:snapToGrid w:val="0"/>
        </w:rPr>
        <w:t>.</w:t>
      </w:r>
      <w:r w:rsidR="00D9151C" w:rsidRPr="00D37850">
        <w:rPr>
          <w:b/>
        </w:rPr>
        <w:t xml:space="preserve"> </w:t>
      </w:r>
    </w:p>
    <w:p w14:paraId="3B12ABD9" w14:textId="51308777" w:rsidR="006E5A1C" w:rsidRPr="002D4507" w:rsidRDefault="006E5A1C" w:rsidP="00D9151C">
      <w:pPr>
        <w:jc w:val="both"/>
        <w:rPr>
          <w:color w:val="000000"/>
        </w:rPr>
      </w:pPr>
    </w:p>
    <w:p w14:paraId="56577787" w14:textId="5AEA26EE" w:rsidR="006E5A1C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4DC9B3DA" w14:textId="77777777" w:rsidR="00D9151C" w:rsidRPr="00BB508E" w:rsidRDefault="00D9151C" w:rsidP="006E5A1C">
      <w:pPr>
        <w:ind w:firstLine="709"/>
        <w:jc w:val="both"/>
        <w:rPr>
          <w:color w:val="000000"/>
        </w:rPr>
      </w:pP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D7C92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0618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41B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03C8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03D8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51C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29FFC-D3A9-487A-8FE5-8711B3DF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1561</Words>
  <Characters>10963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12500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3</cp:revision>
  <cp:lastPrinted>2019-09-24T14:28:00Z</cp:lastPrinted>
  <dcterms:created xsi:type="dcterms:W3CDTF">2026-03-30T13:25:00Z</dcterms:created>
  <dcterms:modified xsi:type="dcterms:W3CDTF">2026-06-02T13:13:00Z</dcterms:modified>
</cp:coreProperties>
</file>