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ДОГОВОР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ЗАДАТК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А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</w:rPr>
        <w:t xml:space="preserve">г. Оренбург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</w:rPr>
        <w:t xml:space="preserve">      </w:t>
      </w:r>
      <w:r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«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____» ___________2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  <w:t xml:space="preserve">0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  <w:t xml:space="preserve">___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  <w:t xml:space="preserve">г.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r>
    </w:p>
    <w:p>
      <w:pPr>
        <w:pStyle w:val="860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Финансовый управляющий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Дараган Ольга Валерьевна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действующий на основании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Р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ешения Арбитражного суда Оренбургской области от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28.01.2025 г. </w:t>
      </w:r>
      <w:bookmarkStart w:id="0" w:name="_Hlk200202096"/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(резолютивная часть объявлена: 20.01.2025 г.)</w:t>
      </w:r>
      <w:bookmarkEnd w:id="0"/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en-US"/>
        </w:rPr>
        <w:t xml:space="preserve">по делу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en-US"/>
        </w:rPr>
        <w:t xml:space="preserve">№ </w:t>
      </w: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А47-19433/2024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именуемый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«Продавец»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 одной стороны, и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___________________________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 в лице _________________________________________, действующий на основании ________________________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именуем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ый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ая)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«Претендент»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с другой стороны, заключили настоящее соглашение о нижеследующем: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1. Предмет соглашения.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1.1.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соответствии с условиями настоящего соглашения Претендент для участия в торгах посредством публичного предложения по продаже имущества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Харченко Татьяны Геннадьевны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перечисляет денежные средства в размере 10 % от начальной цены Лота № 1, установленной для соотв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етствующего периода проведения торгов посредством публичного предложения по продаже имущества Должника, далее – Задаток, а Продавец принимает Задаток.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подписанию с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финансовым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управляющим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Style w:val="846"/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1.3. Состав и описание предмета торгов, а также условия проведения торгов размещены на сайте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http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s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://nistp.ru.</w:t>
      </w:r>
      <w:r>
        <w:rPr>
          <w:rStyle w:val="846"/>
          <w:rFonts w:ascii="Times New Roman" w:hAnsi="Times New Roman"/>
          <w:b/>
          <w:bCs/>
          <w:color w:val="000000" w:themeColor="text1"/>
          <w:sz w:val="22"/>
          <w:szCs w:val="22"/>
        </w:rPr>
      </w:r>
      <w:r>
        <w:rPr>
          <w:rStyle w:val="846"/>
          <w:rFonts w:ascii="Times New Roman" w:hAnsi="Times New Roman"/>
          <w:b/>
          <w:bCs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1.4.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Подписанием настоящего соглашения Претендент подтверждает тот факт,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Единого федерального реестра сведений о банкротстве и https://nistp.ru.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1.5.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проходят в электронной форме на электронной торговой площадке https://nistp.ru,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1.6. В случае неисполнения (ненадлежащего исполнения) Претендентом обязательств, указанных в п.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1.2 настоящего соглашения сумма задатка Претенденту не возвращается, и подлежит включению в конкурсную массу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2. Порядок внесения задатка.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2.1. Задаток должен быть зачислен Претендентом на расчетный счет Продавца в течении трех рабочих дней с момента заключения настоящего соглашения,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но не позднее срока окончания приема заявок на соответствующем периоде проведения торгов посредством публичного предложения: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  <w:t xml:space="preserve">Валюта Российский рубль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Филиал «Центральный» ПАО «Совкомбанк» (г. Бердск)</w:t>
      </w: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к/с 30101810150040000763</w:t>
      </w: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БИК 045004763</w:t>
      </w: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ИНН банка 4401116480</w:t>
      </w: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Р/с 40817810450221825040</w:t>
      </w: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Получатель: Харченко Татьяна Геннадьевна</w:t>
      </w: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Назначение платежа: задаток за участие в торгах по Лоту 1.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2.2. Задаток считается внесенн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Моментом исполнения обязательства Претендента по оплате задатка считается момент зачисления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денежных средств на расчетный счет Продавца, что подтверждается выпиской с этого счета.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2.3. Риски несвоевременного исполнения банками платежных документов и зачисления денежных средств несет Претендент.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3. Порядок возврата и удержания задатка.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3.1. Продавец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Претендент не допущен к участию в торгах;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Претендент участвовал в торгах, но не выиграл их;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Претендент отозвал свою заявку на участие в торгах до даты и времени окончания приема заявок на соответствующем периоде проведения торгов посредством публичног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предложения;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торги признаны несостоявшимися не по вине Претендента;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торги отме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не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ны не по вине Претендента.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3.2. Продавец не возвращает задаток Претенденту в случа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е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отказа или уклонения Претендента, признанного победителем торгов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(так же и в том случае, когда Претендент был единственным участником торгов)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от подписания договора купли-продажи имущества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установленный срок.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3.3. В случае, если Претендент отозвал свою заявку на участие в торгах в срок после окончания приема заявок, задаток Претенденту не возвращается до даты проведения торгов и подписания протокола о результатах проведения торгов.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3.4.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  <w:t xml:space="preserve">4.  Срок действия </w:t>
      </w: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  <w:t xml:space="preserve">договора</w:t>
      </w: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  <w:t xml:space="preserve">.</w:t>
      </w: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-11"/>
          <w:sz w:val="22"/>
          <w:szCs w:val="22"/>
        </w:rPr>
        <w:tab/>
        <w:t xml:space="preserve">4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.1. Настоящ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ий договор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 вступает в силу со дня его подписания сторонами.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ab/>
        <w:t xml:space="preserve">4.2. Отношения между сторонами по настоящему 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договору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 прекращаются после и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  <w:t xml:space="preserve">сполнения ими всех условий настоящего 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  <w:t xml:space="preserve">Договора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  <w:t xml:space="preserve">5. Заключительные положения.</w:t>
      </w:r>
      <w:r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5.1. Споры, возникающие при исполнении настоящего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договора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разрешаются </w:t>
      </w:r>
      <w:r>
        <w:rPr>
          <w:rFonts w:ascii="Times New Roman" w:hAnsi="Times New Roman" w:cs="Times New Roman"/>
          <w:color w:val="000000" w:themeColor="text1"/>
          <w:spacing w:val="1"/>
          <w:sz w:val="22"/>
          <w:szCs w:val="22"/>
        </w:rPr>
        <w:t xml:space="preserve">сторонами путем переговоров между собой. П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ри недостижении согласия споры и разногласия подлежат рассмотрению в Арбитражном суде Оренбургской области.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5.2. Отношения сторон, не урегулированные настоящим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договором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регулируются действующим законодательством РФ.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  <w:t xml:space="preserve">6. Адреса и реквизиты Сторон.</w:t>
      </w:r>
      <w:r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</w:r>
    </w:p>
    <w:tbl>
      <w:tblPr>
        <w:tblW w:w="0" w:type="auto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4960"/>
        <w:gridCol w:w="4983"/>
      </w:tblGrid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4960" w:type="dxa"/>
            <w:textDirection w:val="lrTb"/>
            <w:noWrap w:val="false"/>
          </w:tcPr>
          <w:p>
            <w:pPr>
              <w:pStyle w:val="8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Продавец: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4983" w:type="dxa"/>
            <w:textDirection w:val="lrTb"/>
            <w:noWrap w:val="false"/>
          </w:tcPr>
          <w:p>
            <w:pPr>
              <w:pStyle w:val="8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Претендент: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4960" w:type="dxa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  <w:t xml:space="preserve">Финансовый управляющий</w:t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863"/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Харченко Татьяны Геннадьевны</w:t>
            </w:r>
            <w:r>
              <w:rPr>
                <w:rStyle w:val="863"/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863"/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  <w:t xml:space="preserve">Дараган Ольга Валерьевна</w:t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widowControl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Валюта Российский рубль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Филиал «Центральный»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ПАО «Совкомбанк» (г. Бердск)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к/с 30101810150040000763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БИК 045004763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ИНН банка 4401116480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Р/с 40817810450221825040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Получатель: Харченко Татьяна Геннадьевна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__________________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Дараган О.В.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/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м.п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4983" w:type="dxa"/>
            <w:textDirection w:val="lrTb"/>
            <w:noWrap w:val="false"/>
          </w:tcPr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</w:r>
            <w:bookmarkStart w:id="1" w:name="_GoBack"/>
            <w:r>
              <w:rPr>
                <w:color w:val="000000" w:themeColor="text1"/>
              </w:rPr>
            </w:r>
            <w:bookmarkEnd w:id="1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__________________ / ____________ /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860"/>
        <w:jc w:val="both"/>
      </w:pPr>
      <w:r/>
      <w:r/>
    </w:p>
    <w:sectPr>
      <w:footnotePr/>
      <w:endnotePr/>
      <w:type w:val="nextPage"/>
      <w:pgSz w:w="11906" w:h="16838" w:orient="portrait"/>
      <w:pgMar w:top="851" w:right="567" w:bottom="851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29"/>
    <w:uiPriority w:val="34"/>
    <w:qFormat/>
    <w:pPr>
      <w:contextualSpacing/>
      <w:ind w:left="720"/>
    </w:pPr>
  </w:style>
  <w:style w:type="character" w:styleId="673">
    <w:name w:val="Title Char"/>
    <w:basedOn w:val="830"/>
    <w:link w:val="847"/>
    <w:uiPriority w:val="10"/>
    <w:rPr>
      <w:sz w:val="48"/>
      <w:szCs w:val="48"/>
    </w:rPr>
  </w:style>
  <w:style w:type="paragraph" w:styleId="674">
    <w:name w:val="Subtitle"/>
    <w:basedOn w:val="829"/>
    <w:next w:val="829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basedOn w:val="830"/>
    <w:link w:val="674"/>
    <w:uiPriority w:val="11"/>
    <w:rPr>
      <w:sz w:val="24"/>
      <w:szCs w:val="24"/>
    </w:rPr>
  </w:style>
  <w:style w:type="paragraph" w:styleId="676">
    <w:name w:val="Quote"/>
    <w:basedOn w:val="829"/>
    <w:next w:val="829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29"/>
    <w:next w:val="829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29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30"/>
    <w:link w:val="680"/>
    <w:uiPriority w:val="99"/>
  </w:style>
  <w:style w:type="paragraph" w:styleId="682">
    <w:name w:val="Footer"/>
    <w:basedOn w:val="829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30"/>
    <w:link w:val="682"/>
    <w:uiPriority w:val="99"/>
  </w:style>
  <w:style w:type="paragraph" w:styleId="684">
    <w:name w:val="Caption"/>
    <w:basedOn w:val="829"/>
    <w:next w:val="829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830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pPr>
      <w:widowControl w:val="off"/>
    </w:pPr>
    <w:rPr>
      <w:rFonts w:ascii="Arial" w:hAnsi="Arial" w:cs="Arial"/>
      <w:lang w:eastAsia="ar-SA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character" w:styleId="833" w:customStyle="1">
    <w:name w:val="Основной шрифт абзаца4"/>
  </w:style>
  <w:style w:type="character" w:styleId="834" w:customStyle="1">
    <w:name w:val="Absatz-Standardschriftart"/>
  </w:style>
  <w:style w:type="character" w:styleId="835" w:customStyle="1">
    <w:name w:val="WW-Absatz-Standardschriftart"/>
  </w:style>
  <w:style w:type="character" w:styleId="836" w:customStyle="1">
    <w:name w:val="WW-Absatz-Standardschriftart1"/>
  </w:style>
  <w:style w:type="character" w:styleId="837" w:customStyle="1">
    <w:name w:val="WW-Absatz-Standardschriftart11"/>
  </w:style>
  <w:style w:type="character" w:styleId="838" w:customStyle="1">
    <w:name w:val="WW-Absatz-Standardschriftart111"/>
  </w:style>
  <w:style w:type="character" w:styleId="839" w:customStyle="1">
    <w:name w:val="WW-Absatz-Standardschriftart1111"/>
  </w:style>
  <w:style w:type="character" w:styleId="840" w:customStyle="1">
    <w:name w:val="Основной шрифт абзаца3"/>
  </w:style>
  <w:style w:type="character" w:styleId="841" w:customStyle="1">
    <w:name w:val="WW8Num1z0"/>
    <w:rPr>
      <w:rFonts w:ascii="Symbol" w:hAnsi="Symbol"/>
    </w:rPr>
  </w:style>
  <w:style w:type="character" w:styleId="842" w:customStyle="1">
    <w:name w:val="Основной шрифт абзаца2"/>
  </w:style>
  <w:style w:type="character" w:styleId="843" w:customStyle="1">
    <w:name w:val="WW-Absatz-Standardschriftart11111"/>
  </w:style>
  <w:style w:type="character" w:styleId="844" w:customStyle="1">
    <w:name w:val="WW-Absatz-Standardschriftart111111"/>
  </w:style>
  <w:style w:type="character" w:styleId="845" w:customStyle="1">
    <w:name w:val="Основной шрифт абзаца1"/>
  </w:style>
  <w:style w:type="character" w:styleId="846">
    <w:name w:val="Hyperlink"/>
    <w:rPr>
      <w:rFonts w:cs="Times New Roman"/>
      <w:color w:val="0000ff"/>
      <w:u w:val="single"/>
    </w:rPr>
  </w:style>
  <w:style w:type="paragraph" w:styleId="847">
    <w:name w:val="Title"/>
    <w:basedOn w:val="829"/>
    <w:next w:val="848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848">
    <w:name w:val="Body Text"/>
    <w:basedOn w:val="829"/>
    <w:pPr>
      <w:spacing w:after="120"/>
    </w:pPr>
  </w:style>
  <w:style w:type="paragraph" w:styleId="849">
    <w:name w:val="List"/>
    <w:basedOn w:val="848"/>
    <w:rPr>
      <w:rFonts w:cs="Mangal"/>
    </w:rPr>
  </w:style>
  <w:style w:type="paragraph" w:styleId="850" w:customStyle="1">
    <w:name w:val="Название4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1" w:customStyle="1">
    <w:name w:val="Указатель4"/>
    <w:basedOn w:val="829"/>
    <w:pPr>
      <w:suppressLineNumbers/>
    </w:pPr>
    <w:rPr>
      <w:rFonts w:cs="Mangal"/>
    </w:rPr>
  </w:style>
  <w:style w:type="paragraph" w:styleId="852" w:customStyle="1">
    <w:name w:val="Название3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3" w:customStyle="1">
    <w:name w:val="Указатель3"/>
    <w:basedOn w:val="829"/>
    <w:pPr>
      <w:suppressLineNumbers/>
    </w:pPr>
    <w:rPr>
      <w:rFonts w:cs="Mangal"/>
    </w:rPr>
  </w:style>
  <w:style w:type="paragraph" w:styleId="854" w:customStyle="1">
    <w:name w:val="Название2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5" w:customStyle="1">
    <w:name w:val="Указатель2"/>
    <w:basedOn w:val="829"/>
    <w:pPr>
      <w:suppressLineNumbers/>
    </w:pPr>
    <w:rPr>
      <w:rFonts w:cs="Mangal"/>
    </w:rPr>
  </w:style>
  <w:style w:type="paragraph" w:styleId="856" w:customStyle="1">
    <w:name w:val="Название1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7" w:customStyle="1">
    <w:name w:val="Указатель1"/>
    <w:basedOn w:val="829"/>
    <w:pPr>
      <w:suppressLineNumbers/>
    </w:pPr>
    <w:rPr>
      <w:rFonts w:cs="Mangal"/>
    </w:rPr>
  </w:style>
  <w:style w:type="paragraph" w:styleId="858" w:customStyle="1">
    <w:name w:val="Содержимое таблицы"/>
    <w:basedOn w:val="829"/>
    <w:pPr>
      <w:suppressLineNumbers/>
    </w:pPr>
  </w:style>
  <w:style w:type="paragraph" w:styleId="859" w:customStyle="1">
    <w:name w:val="Заголовок таблицы"/>
    <w:basedOn w:val="858"/>
    <w:pPr>
      <w:jc w:val="center"/>
    </w:pPr>
    <w:rPr>
      <w:b/>
      <w:bCs/>
    </w:rPr>
  </w:style>
  <w:style w:type="paragraph" w:styleId="860">
    <w:name w:val="No Spacing"/>
    <w:qFormat/>
    <w:pPr>
      <w:widowControl w:val="off"/>
    </w:pPr>
    <w:rPr>
      <w:rFonts w:ascii="Arial" w:hAnsi="Arial" w:eastAsia="Arial" w:cs="Arial"/>
      <w:lang w:eastAsia="ar-SA"/>
    </w:rPr>
  </w:style>
  <w:style w:type="paragraph" w:styleId="861" w:customStyle="1">
    <w:name w:val="Обычный (веб)"/>
    <w:basedOn w:val="829"/>
    <w:pPr>
      <w:spacing w:before="240" w:after="240"/>
    </w:pPr>
  </w:style>
  <w:style w:type="character" w:styleId="862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863">
    <w:name w:val="Emphasis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Admin</dc:creator>
  <cp:keywords/>
  <cp:lastModifiedBy>Ольга Дараган</cp:lastModifiedBy>
  <cp:revision>6</cp:revision>
  <dcterms:created xsi:type="dcterms:W3CDTF">2026-02-04T08:19:00Z</dcterms:created>
  <dcterms:modified xsi:type="dcterms:W3CDTF">2026-05-24T19:05:16Z</dcterms:modified>
</cp:coreProperties>
</file>