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F82BF8" w:rsidRPr="00F82BF8">
        <w:rPr>
          <w:noProof/>
          <w:sz w:val="20"/>
          <w:szCs w:val="20"/>
          <w:lang w:eastAsia="ru-RU"/>
        </w:rPr>
        <w:t>Чикин</w:t>
      </w:r>
      <w:r w:rsidR="00F82BF8">
        <w:rPr>
          <w:noProof/>
          <w:sz w:val="20"/>
          <w:szCs w:val="20"/>
          <w:lang w:eastAsia="ru-RU"/>
        </w:rPr>
        <w:t>ой</w:t>
      </w:r>
      <w:r w:rsidR="00F82BF8" w:rsidRPr="00F82BF8">
        <w:rPr>
          <w:noProof/>
          <w:sz w:val="20"/>
          <w:szCs w:val="20"/>
          <w:lang w:eastAsia="ru-RU"/>
        </w:rPr>
        <w:t xml:space="preserve"> Наталь</w:t>
      </w:r>
      <w:r w:rsidR="00F82BF8">
        <w:rPr>
          <w:noProof/>
          <w:sz w:val="20"/>
          <w:szCs w:val="20"/>
          <w:lang w:eastAsia="ru-RU"/>
        </w:rPr>
        <w:t>и</w:t>
      </w:r>
      <w:r w:rsidR="00F82BF8" w:rsidRPr="00F82BF8">
        <w:rPr>
          <w:noProof/>
          <w:sz w:val="20"/>
          <w:szCs w:val="20"/>
          <w:lang w:eastAsia="ru-RU"/>
        </w:rPr>
        <w:t xml:space="preserve"> Сергеевн</w:t>
      </w:r>
      <w:r w:rsidR="00F82BF8">
        <w:rPr>
          <w:noProof/>
          <w:sz w:val="20"/>
          <w:szCs w:val="20"/>
          <w:lang w:eastAsia="ru-RU"/>
        </w:rPr>
        <w:t>ы</w:t>
      </w:r>
      <w:r w:rsidR="00F82BF8" w:rsidRPr="00F82BF8">
        <w:rPr>
          <w:noProof/>
          <w:sz w:val="20"/>
          <w:szCs w:val="20"/>
          <w:lang w:eastAsia="ru-RU"/>
        </w:rPr>
        <w:t xml:space="preserve"> (дата рождения: 12.02.1998 г., место рождения: г. Ашгабат Республика Туркменистан, СНИЛС 208-337-873 75, ИНН 165930791264, адрес регистрации по месту жительства: 422621, Республика Татарстан, д. Кзыл-Иль, ул.Юрия Гагарина, д. 61</w:t>
      </w:r>
      <w:r w:rsidR="00B3770F">
        <w:rPr>
          <w:noProof/>
          <w:sz w:val="20"/>
          <w:szCs w:val="20"/>
          <w:lang w:eastAsia="ru-RU"/>
        </w:rPr>
        <w:t>)</w:t>
      </w:r>
      <w:bookmarkStart w:id="0" w:name="_GoBack"/>
      <w:bookmarkEnd w:id="0"/>
      <w:r w:rsidR="00B3770F">
        <w:rPr>
          <w:noProof/>
          <w:sz w:val="20"/>
          <w:szCs w:val="20"/>
        </w:rPr>
        <w:t xml:space="preserve"> 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F82BF8" w:rsidRPr="00F82BF8">
        <w:rPr>
          <w:noProof/>
          <w:sz w:val="20"/>
          <w:szCs w:val="20"/>
          <w:lang w:eastAsia="ru-RU"/>
        </w:rPr>
        <w:t>Республики Татарстан от 24.09.2025 г. (резолютивная часть) по делу № А65-26140/2025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F82BF8" w:rsidRPr="00F82BF8">
        <w:rPr>
          <w:noProof/>
          <w:sz w:val="20"/>
          <w:lang w:eastAsia="ru-RU"/>
        </w:rPr>
        <w:t>Чикин</w:t>
      </w:r>
      <w:r w:rsidR="00F82BF8">
        <w:rPr>
          <w:noProof/>
          <w:sz w:val="20"/>
          <w:lang w:eastAsia="ru-RU"/>
        </w:rPr>
        <w:t>ой</w:t>
      </w:r>
      <w:r w:rsidR="00F82BF8" w:rsidRPr="00F82BF8">
        <w:rPr>
          <w:noProof/>
          <w:sz w:val="20"/>
          <w:lang w:eastAsia="ru-RU"/>
        </w:rPr>
        <w:t xml:space="preserve"> Наталь</w:t>
      </w:r>
      <w:r w:rsidR="00F82BF8">
        <w:rPr>
          <w:noProof/>
          <w:sz w:val="20"/>
          <w:lang w:eastAsia="ru-RU"/>
        </w:rPr>
        <w:t>и</w:t>
      </w:r>
      <w:r w:rsidR="00F82BF8" w:rsidRPr="00F82BF8">
        <w:rPr>
          <w:noProof/>
          <w:sz w:val="20"/>
          <w:lang w:eastAsia="ru-RU"/>
        </w:rPr>
        <w:t xml:space="preserve"> Сергеевн</w:t>
      </w:r>
      <w:r w:rsidR="00F82BF8">
        <w:rPr>
          <w:noProof/>
          <w:sz w:val="20"/>
          <w:lang w:eastAsia="ru-RU"/>
        </w:rPr>
        <w:t>ы</w:t>
      </w:r>
      <w:r w:rsidR="00F82BF8" w:rsidRPr="00F82BF8">
        <w:rPr>
          <w:noProof/>
          <w:sz w:val="20"/>
          <w:lang w:eastAsia="ru-RU"/>
        </w:rPr>
        <w:t xml:space="preserve"> (дата рождения: 12.02.1998 г., место рождения: г. Ашгабат Республика Туркменистан, СНИЛС 208-337-873 75, ИНН 165930791264, адрес регистрации по месту жительства: 422621, Республика Татарстан, д. Кзыл-Иль, ул.Юрия Гагарина, д. 61)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F82BF8" w:rsidRPr="00F82BF8">
        <w:rPr>
          <w:noProof/>
          <w:sz w:val="20"/>
          <w:szCs w:val="20"/>
          <w:lang w:eastAsia="ru-RU"/>
        </w:rPr>
        <w:t>Чикин</w:t>
      </w:r>
      <w:r w:rsidR="00F82BF8">
        <w:rPr>
          <w:noProof/>
          <w:sz w:val="20"/>
          <w:szCs w:val="20"/>
          <w:lang w:eastAsia="ru-RU"/>
        </w:rPr>
        <w:t>ой</w:t>
      </w:r>
      <w:r w:rsidR="00F82BF8" w:rsidRPr="00F82BF8">
        <w:rPr>
          <w:noProof/>
          <w:sz w:val="20"/>
          <w:szCs w:val="20"/>
          <w:lang w:eastAsia="ru-RU"/>
        </w:rPr>
        <w:t xml:space="preserve"> Наталь</w:t>
      </w:r>
      <w:r w:rsidR="00F82BF8">
        <w:rPr>
          <w:noProof/>
          <w:sz w:val="20"/>
          <w:szCs w:val="20"/>
          <w:lang w:eastAsia="ru-RU"/>
        </w:rPr>
        <w:t>и</w:t>
      </w:r>
      <w:r w:rsidR="00F82BF8" w:rsidRPr="00F82BF8">
        <w:rPr>
          <w:noProof/>
          <w:sz w:val="20"/>
          <w:szCs w:val="20"/>
          <w:lang w:eastAsia="ru-RU"/>
        </w:rPr>
        <w:t xml:space="preserve"> Сергеевн</w:t>
      </w:r>
      <w:r w:rsidR="00F82BF8">
        <w:rPr>
          <w:noProof/>
          <w:sz w:val="20"/>
          <w:szCs w:val="20"/>
          <w:lang w:eastAsia="ru-RU"/>
        </w:rPr>
        <w:t>ы</w:t>
      </w:r>
      <w:r w:rsidR="00F82BF8" w:rsidRPr="00F82BF8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D803DA" w:rsidRPr="00D803DA" w:rsidRDefault="00D803DA" w:rsidP="00F82BF8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Получатель: </w:t>
      </w:r>
      <w:r w:rsidR="00F82BF8" w:rsidRPr="00F82BF8">
        <w:rPr>
          <w:noProof/>
          <w:sz w:val="20"/>
          <w:szCs w:val="20"/>
          <w:lang w:eastAsia="ru-RU"/>
        </w:rPr>
        <w:t>Чикин</w:t>
      </w:r>
      <w:r w:rsidR="00F82BF8">
        <w:rPr>
          <w:noProof/>
          <w:sz w:val="20"/>
          <w:szCs w:val="20"/>
          <w:lang w:eastAsia="ru-RU"/>
        </w:rPr>
        <w:t>а</w:t>
      </w:r>
      <w:r w:rsidR="00F82BF8" w:rsidRPr="00F82BF8">
        <w:rPr>
          <w:noProof/>
          <w:sz w:val="20"/>
          <w:szCs w:val="20"/>
          <w:lang w:eastAsia="ru-RU"/>
        </w:rPr>
        <w:t xml:space="preserve"> Наталь</w:t>
      </w:r>
      <w:r w:rsidR="00F82BF8">
        <w:rPr>
          <w:noProof/>
          <w:sz w:val="20"/>
          <w:szCs w:val="20"/>
          <w:lang w:eastAsia="ru-RU"/>
        </w:rPr>
        <w:t>я</w:t>
      </w:r>
      <w:r w:rsidR="00F82BF8" w:rsidRPr="00F82BF8">
        <w:rPr>
          <w:noProof/>
          <w:sz w:val="20"/>
          <w:szCs w:val="20"/>
          <w:lang w:eastAsia="ru-RU"/>
        </w:rPr>
        <w:t xml:space="preserve"> Сергеевн</w:t>
      </w:r>
      <w:r w:rsidR="00F82BF8">
        <w:rPr>
          <w:noProof/>
          <w:sz w:val="20"/>
          <w:szCs w:val="20"/>
          <w:lang w:eastAsia="ru-RU"/>
        </w:rPr>
        <w:t>а</w:t>
      </w:r>
    </w:p>
    <w:p w:rsidR="00D803DA" w:rsidRP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счет </w:t>
      </w:r>
      <w:r w:rsidR="009915A7" w:rsidRPr="009915A7">
        <w:rPr>
          <w:color w:val="000000"/>
          <w:sz w:val="20"/>
          <w:szCs w:val="20"/>
          <w:shd w:val="clear" w:color="auto" w:fill="FFFFFF"/>
        </w:rPr>
        <w:t>40817810250222280127</w:t>
      </w:r>
      <w:r>
        <w:rPr>
          <w:sz w:val="20"/>
          <w:szCs w:val="20"/>
          <w:lang w:eastAsia="ru-RU"/>
        </w:rPr>
        <w:t xml:space="preserve"> </w:t>
      </w:r>
      <w:r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к/с 30101810150040000763, БИК 045004763, ИНН БАНКА 4401116480, КПП БАНКА 544543001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F82BF8" w:rsidRPr="00F82BF8">
        <w:rPr>
          <w:noProof/>
          <w:sz w:val="20"/>
          <w:lang w:eastAsia="ru-RU"/>
        </w:rPr>
        <w:t>Чикин</w:t>
      </w:r>
      <w:r w:rsidR="00F82BF8">
        <w:rPr>
          <w:noProof/>
          <w:sz w:val="20"/>
          <w:lang w:eastAsia="ru-RU"/>
        </w:rPr>
        <w:t>ой</w:t>
      </w:r>
      <w:r w:rsidR="00F82BF8" w:rsidRPr="00F82BF8">
        <w:rPr>
          <w:noProof/>
          <w:sz w:val="20"/>
          <w:lang w:eastAsia="ru-RU"/>
        </w:rPr>
        <w:t xml:space="preserve"> Наталь</w:t>
      </w:r>
      <w:r w:rsidR="00F82BF8">
        <w:rPr>
          <w:noProof/>
          <w:sz w:val="20"/>
          <w:lang w:eastAsia="ru-RU"/>
        </w:rPr>
        <w:t>и</w:t>
      </w:r>
      <w:r w:rsidR="00F82BF8" w:rsidRPr="00F82BF8">
        <w:rPr>
          <w:noProof/>
          <w:sz w:val="20"/>
          <w:lang w:eastAsia="ru-RU"/>
        </w:rPr>
        <w:t xml:space="preserve"> Сергеевн</w:t>
      </w:r>
      <w:r w:rsidR="00F82BF8">
        <w:rPr>
          <w:noProof/>
          <w:sz w:val="20"/>
          <w:lang w:eastAsia="ru-RU"/>
        </w:rPr>
        <w:t>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F82BF8" w:rsidRPr="00F82BF8">
        <w:rPr>
          <w:noProof/>
          <w:sz w:val="20"/>
          <w:lang w:eastAsia="ru-RU"/>
        </w:rPr>
        <w:t>Чикин</w:t>
      </w:r>
      <w:r w:rsidR="00F82BF8">
        <w:rPr>
          <w:noProof/>
          <w:sz w:val="20"/>
          <w:lang w:eastAsia="ru-RU"/>
        </w:rPr>
        <w:t>ой</w:t>
      </w:r>
      <w:r w:rsidR="00F82BF8" w:rsidRPr="00F82BF8">
        <w:rPr>
          <w:noProof/>
          <w:sz w:val="20"/>
          <w:lang w:eastAsia="ru-RU"/>
        </w:rPr>
        <w:t xml:space="preserve"> Наталь</w:t>
      </w:r>
      <w:r w:rsidR="00F82BF8">
        <w:rPr>
          <w:noProof/>
          <w:sz w:val="20"/>
          <w:lang w:eastAsia="ru-RU"/>
        </w:rPr>
        <w:t>и</w:t>
      </w:r>
      <w:r w:rsidR="00F82BF8" w:rsidRPr="00F82BF8">
        <w:rPr>
          <w:noProof/>
          <w:sz w:val="20"/>
          <w:lang w:eastAsia="ru-RU"/>
        </w:rPr>
        <w:t xml:space="preserve"> Сергеевн</w:t>
      </w:r>
      <w:r w:rsidR="00F82BF8">
        <w:rPr>
          <w:noProof/>
          <w:sz w:val="20"/>
          <w:lang w:eastAsia="ru-RU"/>
        </w:rPr>
        <w:t>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F82BF8" w:rsidRPr="00F82BF8">
              <w:rPr>
                <w:noProof/>
                <w:sz w:val="20"/>
                <w:szCs w:val="20"/>
                <w:lang w:eastAsia="ru-RU"/>
              </w:rPr>
              <w:t>Чикин</w:t>
            </w:r>
            <w:r w:rsidR="00F82BF8">
              <w:rPr>
                <w:noProof/>
                <w:sz w:val="20"/>
                <w:szCs w:val="20"/>
                <w:lang w:eastAsia="ru-RU"/>
              </w:rPr>
              <w:t>ой</w:t>
            </w:r>
            <w:r w:rsidR="00F82BF8" w:rsidRPr="00F82BF8">
              <w:rPr>
                <w:noProof/>
                <w:sz w:val="20"/>
                <w:szCs w:val="20"/>
                <w:lang w:eastAsia="ru-RU"/>
              </w:rPr>
              <w:t xml:space="preserve"> Наталь</w:t>
            </w:r>
            <w:r w:rsidR="00F82BF8">
              <w:rPr>
                <w:noProof/>
                <w:sz w:val="20"/>
                <w:szCs w:val="20"/>
                <w:lang w:eastAsia="ru-RU"/>
              </w:rPr>
              <w:t>и</w:t>
            </w:r>
            <w:r w:rsidR="00F82BF8" w:rsidRPr="00F82BF8">
              <w:rPr>
                <w:noProof/>
                <w:sz w:val="20"/>
                <w:szCs w:val="20"/>
                <w:lang w:eastAsia="ru-RU"/>
              </w:rPr>
              <w:t xml:space="preserve"> Сергеевн</w:t>
            </w:r>
            <w:r w:rsidR="00F82BF8">
              <w:rPr>
                <w:noProof/>
                <w:sz w:val="20"/>
                <w:szCs w:val="20"/>
                <w:lang w:eastAsia="ru-RU"/>
              </w:rPr>
              <w:t>ы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>Получатель: Чикина Наталья Сергеевна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>счет 40817810550222636837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F82BF8" w:rsidP="00F82BF8">
            <w:pPr>
              <w:jc w:val="both"/>
              <w:rPr>
                <w:b/>
                <w:sz w:val="20"/>
                <w:szCs w:val="20"/>
              </w:rPr>
            </w:pPr>
            <w:r w:rsidRPr="00F82BF8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11" w:rsidRDefault="009A6311" w:rsidP="00CE51EC">
      <w:r>
        <w:separator/>
      </w:r>
    </w:p>
  </w:endnote>
  <w:endnote w:type="continuationSeparator" w:id="0">
    <w:p w:rsidR="009A6311" w:rsidRDefault="009A6311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11" w:rsidRDefault="009A6311" w:rsidP="00CE51EC">
      <w:r>
        <w:separator/>
      </w:r>
    </w:p>
  </w:footnote>
  <w:footnote w:type="continuationSeparator" w:id="0">
    <w:p w:rsidR="009A6311" w:rsidRDefault="009A6311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9A6311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9A6311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A6311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3770F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CD4B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DCD5-7488-4A5C-87E4-643F4E5A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3</cp:revision>
  <cp:lastPrinted>2017-11-10T09:45:00Z</cp:lastPrinted>
  <dcterms:created xsi:type="dcterms:W3CDTF">2026-04-01T08:18:00Z</dcterms:created>
  <dcterms:modified xsi:type="dcterms:W3CDTF">2026-05-12T07:10:00Z</dcterms:modified>
</cp:coreProperties>
</file>