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616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Ханты-Мансийского автономного округа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Костромина Дениса Олеговича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0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Костромина Дениса Олеговича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6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17.11</w:t>
      </w:r>
      <w:r>
        <w:rPr>
          <w:sz w:val="24"/>
          <w:szCs w:val="24"/>
        </w:rPr>
        <w:t xml:space="preserve">.1986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дер. Зеленая Роща Усть-Таркский район Новосибирская область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121-940-166 26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541627934804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628412, Ханты-Мансийский автономный округ - Югра, г Сургут, тер. СНТ Черемушки, ул 16-я Линия, д 20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Прицеп марки:71621 (модель прицепа)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выпуска:2017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АУ881386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 (VIN): XJF716213H0003793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Прицеп (в документе указана модель "71621", категория не заполнена явно, но по контексту и данным — прицеп)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№:отсутствует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XJF716213H0003793 (номер совпадает с VIN)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Цвет кузова: стальной/черный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кг:750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кг:175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55980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</w:pPr>
                  <w:r/>
                  <w:r/>
                </w:p>
              </w:tc>
            </w:tr>
          </w:tbl>
          <w:p>
            <w:pPr>
              <w:pStyle w:val="616"/>
            </w:pPr>
            <w:r>
              <w:t xml:space="preserve">Ознакомление с имуществом производится по адресу: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 xml:space="preserve">Ханты-Мансийский автономный округ - Югра, г Сургут, тер. СНТ Черемушки, ул 16-я Линия, д 20</w:t>
            </w:r>
            <w:r/>
            <w:r>
              <w:t xml:space="preserve">, с момента публикации сообщения о продаже имущества и до окон</w:t>
            </w:r>
            <w:r>
              <w:t xml:space="preserve">чания приема заявок по предварительной записи по телефону: </w:t>
            </w:r>
            <w:r/>
            <w:r>
              <w:t xml:space="preserve">89600091050</w:t>
            </w:r>
            <w:r/>
            <w:r/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Организовать продажу имущества в течение 15 дней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Финансовый управляющий </w:t>
            </w:r>
            <w:r>
              <w:t xml:space="preserve">Костромина Дениса Олеговича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Арбитражного суда Ханты-Мансийского автономного округа от 20.05.2025 г. по делу № А75-1543/2025</w:t>
            </w:r>
            <w:r/>
          </w:p>
          <w:p>
            <w:pPr>
              <w:pStyle w:val="616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616"/>
            </w:pPr>
            <w:r>
              <w:t xml:space="preserve">- опубликовывает и размещает сообщение о п</w:t>
            </w:r>
            <w:r>
              <w:t xml:space="preserve">родаже имущества и сообщение о результатах проведения торгов;</w:t>
            </w:r>
            <w:r/>
          </w:p>
          <w:p>
            <w:pPr>
              <w:pStyle w:val="616"/>
            </w:pPr>
            <w:r>
              <w:t xml:space="preserve">- определяет участников торгов;</w:t>
            </w:r>
            <w:r/>
          </w:p>
          <w:p>
            <w:pPr>
              <w:pStyle w:val="616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616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6"/>
            </w:pPr>
            <w:r>
              <w:t xml:space="preserve">Сведения об организаторе торгов:</w:t>
            </w:r>
            <w:r/>
          </w:p>
          <w:p>
            <w:pPr>
              <w:pStyle w:val="616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616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616"/>
            </w:pPr>
            <w:r>
              <w:t xml:space="preserve">- контактный номер: </w:t>
            </w:r>
            <w:r/>
            <w:r>
              <w:t xml:space="preserve">89600091050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Форма торгов и форма представления предложе</w:t>
            </w:r>
            <w:r>
              <w:t xml:space="preserve">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«Новые информационные сервисы», размещенной на сайте https://nistp.ru/ в сети Интернет.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Лот № 1: 10%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6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  <w:r/>
          </w:p>
          <w:p>
            <w:pPr>
              <w:pStyle w:val="616"/>
            </w:pPr>
            <w:r>
              <w:t xml:space="preserve">Валюта получаемого перевода: Российский рубль (RUB)</w:t>
            </w:r>
            <w:r/>
            <w:r/>
          </w:p>
          <w:p>
            <w:pPr>
              <w:pStyle w:val="616"/>
            </w:pPr>
            <w:r>
              <w:t xml:space="preserve">Получатель: </w:t>
            </w:r>
            <w:r>
              <w:t xml:space="preserve">Костромин Денис Олегович</w:t>
            </w:r>
            <w:r/>
            <w:r/>
          </w:p>
          <w:p>
            <w:pPr>
              <w:pStyle w:val="616"/>
            </w:pPr>
            <w:r>
              <w:t xml:space="preserve">Номер счёта: </w:t>
            </w:r>
            <w:r>
              <w:t xml:space="preserve">40817810204002343352</w:t>
            </w:r>
            <w:r/>
            <w:r/>
          </w:p>
          <w:p>
            <w:pPr>
              <w:pStyle w:val="616"/>
            </w:pPr>
            <w:r>
              <w:t xml:space="preserve">Банк получателя: АРХАНГЕЛЬСКОЕ ОТДЕЛЕНИЕ N 8637 ПАО СБЕРБАНК</w:t>
            </w:r>
            <w:r/>
            <w:r/>
          </w:p>
          <w:p>
            <w:pPr>
              <w:pStyle w:val="616"/>
            </w:pPr>
            <w:r>
              <w:t xml:space="preserve">БИК: </w:t>
            </w:r>
            <w:r>
              <w:t xml:space="preserve">041117601</w:t>
            </w:r>
            <w:r/>
            <w:r/>
            <w:r/>
          </w:p>
          <w:p>
            <w:pPr>
              <w:pStyle w:val="616"/>
            </w:pPr>
            <w:r>
              <w:t xml:space="preserve">Корр. счёт: </w:t>
            </w:r>
            <w:r>
              <w:t xml:space="preserve">30101810100000000601</w:t>
            </w:r>
            <w:r/>
            <w:r/>
            <w:r/>
          </w:p>
          <w:p>
            <w:pPr>
              <w:pStyle w:val="616"/>
            </w:pPr>
            <w:r>
              <w:t xml:space="preserve">ИНН: </w:t>
            </w:r>
            <w:r>
              <w:t xml:space="preserve">7707083893 </w:t>
            </w:r>
            <w:r/>
            <w:r/>
          </w:p>
          <w:p>
            <w:pPr>
              <w:pStyle w:val="616"/>
            </w:pPr>
            <w:r>
              <w:t xml:space="preserve">КПП: </w:t>
            </w:r>
            <w:r>
              <w:t xml:space="preserve">290102001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Лот № 1: 10%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</w:t>
            </w:r>
            <w:r>
              <w:t xml:space="preserve">оведения торгов</w:t>
            </w:r>
            <w:r>
              <w:rPr>
                <w:i/>
              </w:rPr>
              <w:t xml:space="preserve">.</w:t>
            </w:r>
            <w:r/>
            <w:r/>
          </w:p>
          <w:p>
            <w:pPr>
              <w:pStyle w:val="616"/>
            </w:pPr>
            <w:r>
              <w:t xml:space="preserve">Текст сообщения должен содержать следующие сведения:</w:t>
            </w:r>
            <w:r/>
            <w:r/>
          </w:p>
          <w:p>
            <w:pPr>
              <w:pStyle w:val="616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  <w:r/>
          </w:p>
          <w:p>
            <w:pPr>
              <w:pStyle w:val="616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  <w:r/>
          </w:p>
          <w:p>
            <w:pPr>
              <w:pStyle w:val="616"/>
            </w:pPr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  <w:r/>
          </w:p>
          <w:p>
            <w:pPr>
              <w:pStyle w:val="616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  <w:r/>
          </w:p>
          <w:p>
            <w:pPr>
              <w:pStyle w:val="616"/>
            </w:pPr>
            <w:r>
              <w:t xml:space="preserve">размер задатка, сроки и порядок внесения задатка, реквизиты счетов, на которые вносится задаток;</w:t>
            </w:r>
            <w:r/>
            <w:r/>
          </w:p>
          <w:p>
            <w:pPr>
              <w:pStyle w:val="616"/>
            </w:pPr>
            <w:r>
              <w:t xml:space="preserve">начальная цена продажи имущества;</w:t>
            </w:r>
            <w:r/>
            <w:r/>
          </w:p>
          <w:p>
            <w:pPr>
              <w:pStyle w:val="616"/>
            </w:pPr>
            <w:r>
              <w:t xml:space="preserve">величина повышения начальной цены продажи имущества ("шаг аукциона");</w:t>
            </w:r>
            <w:r/>
            <w:r/>
          </w:p>
          <w:p>
            <w:pPr>
              <w:pStyle w:val="616"/>
            </w:pPr>
            <w:r>
              <w:t xml:space="preserve">порядок и критерии выявления победителя торгов;</w:t>
            </w:r>
            <w:r/>
            <w:r/>
          </w:p>
          <w:p>
            <w:pPr>
              <w:pStyle w:val="616"/>
            </w:pPr>
            <w:r>
              <w:t xml:space="preserve">дата, время и место подведения результатов торгов;</w:t>
            </w:r>
            <w:r/>
            <w:r/>
          </w:p>
          <w:p>
            <w:pPr>
              <w:pStyle w:val="616"/>
            </w:pPr>
            <w:r>
              <w:t xml:space="preserve">порядок и срок заключения договора купли-продажи и</w:t>
            </w:r>
            <w:r>
              <w:t xml:space="preserve">мущества;</w:t>
            </w:r>
            <w:r/>
            <w:r/>
          </w:p>
          <w:p>
            <w:pPr>
              <w:pStyle w:val="616"/>
            </w:pPr>
            <w:r>
              <w:t xml:space="preserve">сроки платежей, реквизиты счетов, на которые вносятся платежи;</w:t>
            </w:r>
            <w:r/>
            <w:r/>
          </w:p>
          <w:p>
            <w:pPr>
              <w:pStyle w:val="616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Заявка на участие в торгах составляется </w:t>
            </w:r>
            <w:r>
              <w:t xml:space="preserve">в произвольной форме на русском языке и должна содержать следующие сведения:</w:t>
            </w:r>
            <w:r/>
            <w:r/>
          </w:p>
          <w:p>
            <w:pPr>
              <w:pStyle w:val="616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  <w:r/>
          </w:p>
          <w:p>
            <w:pPr>
              <w:pStyle w:val="616"/>
            </w:pPr>
            <w:r>
              <w:t xml:space="preserve">б) фамилия, имя, отчество, паспортные данные, сведения о месте жительства заявителя (д</w:t>
            </w:r>
            <w:r>
              <w:t xml:space="preserve">ля физического лица);</w:t>
            </w:r>
            <w:r/>
            <w:r/>
          </w:p>
          <w:p>
            <w:pPr>
              <w:pStyle w:val="616"/>
            </w:pPr>
            <w:r>
              <w:t xml:space="preserve">в) номер контактного телефона, адрес электронной почты заявителя; </w:t>
            </w:r>
            <w:r/>
            <w:r/>
          </w:p>
          <w:p>
            <w:pPr>
              <w:pStyle w:val="616"/>
            </w:pPr>
            <w:r>
      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</w:t>
            </w:r>
            <w:r>
              <w:t xml:space="preserve">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  <w:r/>
          </w:p>
          <w:p>
            <w:pPr>
              <w:pStyle w:val="616"/>
            </w:pPr>
            <w:r>
              <w:t xml:space="preserve">Заявка на участие в торг</w:t>
            </w:r>
            <w:r>
              <w:t xml:space="preserve">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  <w:r/>
          </w:p>
          <w:p>
            <w:pPr>
              <w:pStyle w:val="616"/>
            </w:pPr>
            <w:r>
              <w:t xml:space="preserve">Для участия в открытых торгах заявитель представляет оператору электронн</w:t>
            </w:r>
            <w:r>
              <w:t xml:space="preserve">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</w:t>
            </w:r>
            <w:r>
              <w:t xml:space="preserve">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</w:t>
            </w:r>
            <w:r>
              <w:t xml:space="preserve">ается акцептом договора о задатке.</w:t>
            </w:r>
            <w:r/>
            <w:r/>
          </w:p>
          <w:p>
            <w:pPr>
              <w:pStyle w:val="616"/>
            </w:pPr>
            <w:r>
              <w:t xml:space="preserve">За</w:t>
            </w:r>
            <w:r>
              <w:t xml:space="preserve">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  <w:r/>
          </w:p>
          <w:p>
            <w:pPr>
              <w:pStyle w:val="616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  <w:r/>
          </w:p>
          <w:p>
            <w:pPr>
              <w:pStyle w:val="616"/>
            </w:pPr>
            <w:r>
              <w:t xml:space="preserve">В течение тридцати минут с момента представления заявки на участие в торгах такая за</w:t>
            </w:r>
            <w:r>
              <w:t xml:space="preserve">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Срок представления заявок на участие в открытых торгах </w:t>
            </w:r>
            <w:r>
              <w:t xml:space="preserve">составляет 25 рабочих дней со дня опубликования и размещения сообщения о проведении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  <w:r/>
          </w:p>
          <w:p>
            <w:pPr>
              <w:pStyle w:val="616"/>
            </w:pPr>
            <w:r>
              <w:t xml:space="preserve">Организатор торгов посредством программно-аппаратных средств сайта формирует прото</w:t>
            </w:r>
            <w:r>
              <w:t xml:space="preserve">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</w:t>
            </w:r>
            <w:r>
              <w:t xml:space="preserve">ору электронной площадки в день его подписания.</w:t>
            </w:r>
            <w:r/>
            <w:r/>
          </w:p>
          <w:p>
            <w:pPr>
              <w:pStyle w:val="616"/>
            </w:pPr>
            <w:r>
              <w:t xml:space="preserve">В течение пяти календарных дней со дня подписания и направления протокола об о</w:t>
            </w:r>
            <w:r>
              <w:t xml:space="preserve">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</w:t>
            </w:r>
            <w:r>
              <w:t xml:space="preserve">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</w:t>
            </w:r>
            <w:r>
              <w:t xml:space="preserve"> приложением копии протокола об определении участников торгов.</w:t>
            </w:r>
            <w:r/>
            <w:r/>
          </w:p>
          <w:p>
            <w:pPr>
              <w:pStyle w:val="616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  <w:r/>
          </w:p>
          <w:p>
            <w:pPr>
              <w:pStyle w:val="616"/>
            </w:pPr>
            <w:r>
              <w:t xml:space="preserve">Решение об отказе в допуске заявителя к участию в торгах принимается в случае, если:</w:t>
            </w:r>
            <w:r/>
            <w:r/>
          </w:p>
          <w:p>
            <w:pPr>
              <w:pStyle w:val="616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  <w:r/>
          </w:p>
          <w:p>
            <w:pPr>
              <w:pStyle w:val="616"/>
            </w:pPr>
            <w:r>
              <w:t xml:space="preserve">- представленные заявителем документы не соответствуют установленным к н</w:t>
            </w:r>
            <w:r>
              <w:t xml:space="preserve">им требованиям или недостоверны;</w:t>
            </w:r>
            <w:r/>
            <w:r/>
          </w:p>
          <w:p>
            <w:pPr>
              <w:pStyle w:val="616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В </w:t>
            </w:r>
            <w:r>
              <w:t xml:space="preserve">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  <w:r/>
          </w:p>
          <w:p>
            <w:pPr>
              <w:pStyle w:val="616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</w:t>
            </w:r>
            <w:r>
              <w:t xml:space="preserve">ремени, оставшегося до истечения срока представления таких предложений. </w:t>
            </w:r>
            <w:r/>
            <w:r/>
          </w:p>
          <w:p>
            <w:pPr>
              <w:pStyle w:val="616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  <w:r/>
          </w:p>
          <w:p>
            <w:pPr>
              <w:pStyle w:val="616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</w:t>
            </w:r>
            <w:r>
              <w:t xml:space="preserve">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</w:t>
            </w:r>
            <w:r>
              <w:t xml:space="preserve">дложений.</w:t>
            </w:r>
            <w:r/>
            <w:r/>
          </w:p>
          <w:p>
            <w:pPr>
              <w:pStyle w:val="616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  <w:r/>
          </w:p>
          <w:p>
            <w:pPr>
              <w:pStyle w:val="616"/>
            </w:pPr>
            <w:r>
              <w:t xml:space="preserve">Во время проведения торгов с пом</w:t>
            </w:r>
            <w:r>
              <w:t xml:space="preserve">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  <w:r/>
          </w:p>
          <w:p>
            <w:pPr>
              <w:pStyle w:val="616"/>
            </w:pPr>
            <w:r>
              <w:t xml:space="preserve">а) предложение о цене представлено по истечении установленного срока</w:t>
            </w:r>
            <w:r>
              <w:t xml:space="preserve"> представления предложений о цене;</w:t>
            </w:r>
            <w:r/>
            <w:r/>
          </w:p>
          <w:p>
            <w:pPr>
              <w:pStyle w:val="616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  <w:r/>
          </w:p>
          <w:p>
            <w:pPr>
              <w:pStyle w:val="616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</w:t>
            </w:r>
            <w:r>
              <w:t xml:space="preserve">в.</w:t>
            </w:r>
            <w:r/>
            <w:r/>
          </w:p>
          <w:p>
            <w:pPr>
              <w:pStyle w:val="616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Не позднее тридцати минут с момента завершения торгов оператором электронной площадки с помощью программно-аппаратных </w:t>
            </w:r>
            <w:r>
              <w:t xml:space="preserve">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  <w:r/>
          </w:p>
          <w:p>
            <w:pPr>
              <w:pStyle w:val="616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</w:t>
            </w:r>
            <w:r>
              <w:t xml:space="preserve">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  <w:r/>
          </w:p>
          <w:p>
            <w:pPr>
              <w:pStyle w:val="616"/>
            </w:pPr>
            <w:r>
              <w:t xml:space="preserve">Протокол о результатах проведения торгов размещается оператором электронной площадки на эл</w:t>
            </w:r>
            <w:r>
              <w:t xml:space="preserve">ектронной площадке.</w:t>
            </w:r>
            <w:r/>
            <w:r/>
          </w:p>
          <w:p>
            <w:pPr>
              <w:pStyle w:val="616"/>
            </w:pPr>
            <w:r>
              <w:t xml:space="preserve">Не позднее тридцати минут после размещения на электронной площадке протокола организатор торгов посредством программно-аппаратных </w:t>
            </w:r>
            <w:r>
              <w:t xml:space="preserve">средств сайта направляет протокол в форме электронного сообщения всем участникам торгов, в том числе на адрес электронной </w:t>
            </w:r>
            <w:r>
              <w:t xml:space="preserve">почты, указанный в заявке на участие в торгах.</w:t>
            </w:r>
            <w:r/>
            <w:r/>
          </w:p>
          <w:p>
            <w:pPr>
              <w:pStyle w:val="616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  <w:r/>
          </w:p>
          <w:p>
            <w:pPr>
              <w:pStyle w:val="616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6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  <w:r/>
          </w:p>
          <w:p>
            <w:pPr>
              <w:pStyle w:val="616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  <w:r/>
          </w:p>
          <w:p>
            <w:pPr>
              <w:pStyle w:val="616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  <w:r/>
          </w:p>
          <w:p>
            <w:pPr>
              <w:pStyle w:val="616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  <w:r/>
          </w:p>
          <w:p>
            <w:pPr>
              <w:pStyle w:val="616"/>
            </w:pPr>
            <w:r>
              <w:t xml:space="preserve">Не позднее тридцати минут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616"/>
            </w:pPr>
            <w:r>
              <w:t xml:space="preserve">Если к участию в торгах был допущен тол</w:t>
            </w:r>
            <w: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  <w:r/>
          </w:p>
          <w:p>
            <w:pPr>
              <w:pStyle w:val="616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  <w:r/>
          </w:p>
          <w:p>
            <w:pPr>
              <w:pStyle w:val="616"/>
            </w:pPr>
            <w: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  <w:r/>
          </w:p>
          <w:p>
            <w:pPr>
              <w:pStyle w:val="616"/>
            </w:pPr>
            <w:r>
              <w:t xml:space="preserve">Валюта получаемого перевода: Российский рубль (RUB)</w:t>
            </w:r>
            <w:r/>
            <w:r/>
          </w:p>
          <w:p>
            <w:pPr>
              <w:pStyle w:val="616"/>
            </w:pPr>
            <w:r>
              <w:t xml:space="preserve">Получатель: </w:t>
            </w:r>
            <w:r>
              <w:t xml:space="preserve">Костромин Денис Олегович</w:t>
            </w:r>
            <w:r/>
            <w:r/>
          </w:p>
          <w:p>
            <w:pPr>
              <w:pStyle w:val="616"/>
            </w:pPr>
            <w:r>
              <w:t xml:space="preserve">Номер счёта: </w:t>
            </w:r>
            <w:r>
              <w:t xml:space="preserve">40817810204002343352</w:t>
            </w:r>
            <w:r/>
            <w:r/>
          </w:p>
          <w:p>
            <w:pPr>
              <w:pStyle w:val="616"/>
            </w:pPr>
            <w:r>
              <w:t xml:space="preserve">Банк получателя: АРХАНГЕЛЬСКОЕ ОТДЕЛЕНИЕ N 8637 ПАО СБЕРБАНК</w:t>
            </w:r>
            <w:r/>
            <w:r/>
          </w:p>
          <w:p>
            <w:pPr>
              <w:pStyle w:val="616"/>
            </w:pPr>
            <w:r>
              <w:t xml:space="preserve">БИК: </w:t>
            </w:r>
            <w:r>
              <w:t xml:space="preserve">041117601</w:t>
            </w:r>
            <w:r/>
            <w:r/>
          </w:p>
          <w:p>
            <w:pPr>
              <w:pStyle w:val="616"/>
            </w:pPr>
            <w:r>
              <w:t xml:space="preserve">Корр. счёт: </w:t>
            </w:r>
            <w:r>
              <w:t xml:space="preserve">30101810100000000601</w:t>
            </w:r>
            <w:r/>
            <w:r/>
          </w:p>
          <w:p>
            <w:pPr>
              <w:pStyle w:val="616"/>
            </w:pPr>
            <w:r>
              <w:t xml:space="preserve">ИНН: </w:t>
            </w:r>
            <w:r>
              <w:t xml:space="preserve">7707083893 </w:t>
            </w:r>
            <w:r/>
            <w:r/>
          </w:p>
          <w:p>
            <w:pPr>
              <w:pStyle w:val="616"/>
            </w:pPr>
            <w:r>
              <w:t xml:space="preserve">КПП: </w:t>
            </w:r>
            <w:r>
              <w:t xml:space="preserve">290102001</w:t>
            </w:r>
            <w:r/>
            <w:r/>
            <w:r/>
            <w:r/>
            <w:r/>
          </w:p>
          <w:p>
            <w:pPr>
              <w:pStyle w:val="616"/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Обязательными условиями договора купли-продажи имущества являются:</w:t>
            </w:r>
            <w:r/>
            <w:r/>
          </w:p>
          <w:p>
            <w:pPr>
              <w:pStyle w:val="616"/>
            </w:pPr>
            <w:r>
              <w:t xml:space="preserve">сведения об имуществе, его составе, характеристиках, описание имущества;</w:t>
            </w:r>
            <w:r/>
            <w:r/>
          </w:p>
          <w:p>
            <w:pPr>
              <w:pStyle w:val="616"/>
            </w:pPr>
            <w:r>
              <w:t xml:space="preserve">цена продажи имущества;</w:t>
            </w:r>
            <w:r/>
            <w:r/>
          </w:p>
          <w:p>
            <w:pPr>
              <w:pStyle w:val="616"/>
            </w:pPr>
            <w:r>
              <w:t xml:space="preserve">порядок и срок передачи имущества покупателю;</w:t>
            </w:r>
            <w:r/>
            <w:r/>
          </w:p>
          <w:p>
            <w:pPr>
              <w:pStyle w:val="616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  <w:r/>
          </w:p>
          <w:p>
            <w:pPr>
              <w:pStyle w:val="616"/>
            </w:pPr>
            <w:r>
              <w:t xml:space="preserve">иные предусмотренные законодательством Российской Федерации условия.</w:t>
            </w:r>
            <w:r/>
            <w:r/>
          </w:p>
          <w:p>
            <w:pPr>
              <w:pStyle w:val="616"/>
            </w:pPr>
            <w:r>
              <w:t xml:space="preserve">Передача имущества финансовым управляющим и принятие его </w:t>
            </w:r>
            <w:r>
              <w:t xml:space="preserve">покупателем осуществляются по передаточному акту, подписываемому сторонами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622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  <w:r/>
          </w:p>
          <w:p>
            <w:pPr>
              <w:pStyle w:val="616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  <w:r/>
          </w:p>
          <w:p>
            <w:pPr>
              <w:pStyle w:val="616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  <w:r/>
          </w:p>
          <w:p>
            <w:pPr>
              <w:pStyle w:val="616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  <w:r/>
          </w:p>
          <w:p>
            <w:pPr>
              <w:pStyle w:val="616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  <w:r/>
          </w:p>
          <w:p>
            <w:pPr>
              <w:pStyle w:val="616"/>
            </w:pPr>
            <w:r>
              <w:t xml:space="preserve">Величина снижения начальной цены продажи имущества должника - 10 %.</w:t>
            </w:r>
            <w:r/>
            <w:r/>
          </w:p>
          <w:p>
            <w:pPr>
              <w:pStyle w:val="616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  <w:r/>
          </w:p>
          <w:p>
            <w:pPr>
              <w:pStyle w:val="616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  <w:r/>
          </w:p>
          <w:p>
            <w:pPr>
              <w:pStyle w:val="616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</w:t>
            </w:r>
            <w:r>
              <w:t xml:space="preserve">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</w:t>
            </w:r>
            <w:r>
              <w:t xml:space="preserve">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</w:t>
            </w:r>
            <w:r>
              <w:t xml:space="preserve">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</w:t>
            </w:r>
            <w:r>
              <w:t xml:space="preserve">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  <w:r/>
          </w:p>
          <w:p>
            <w:pPr>
              <w:pStyle w:val="616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  <w:r/>
          </w:p>
          <w:p>
            <w:pPr>
              <w:pStyle w:val="616"/>
            </w:pPr>
            <w:r>
              <w:t xml:space="preserve">При участии в торгах посредством публичного пред</w:t>
            </w:r>
            <w: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  <w:r/>
          </w:p>
          <w:p>
            <w:pPr>
              <w:pStyle w:val="616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  <w:r/>
          </w:p>
          <w:p>
            <w:pPr>
              <w:pStyle w:val="616"/>
            </w:pPr>
            <w:r>
              <w:t xml:space="preserve">Определение участников торгов, проводимых в форме публичного предложения осуществляется в следующем порядке:</w:t>
            </w:r>
            <w:r/>
            <w:r/>
          </w:p>
          <w:p>
            <w:pPr>
              <w:pStyle w:val="616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  <w:r/>
          </w:p>
          <w:p>
            <w:pPr>
              <w:pStyle w:val="616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  <w:r/>
          </w:p>
          <w:p>
            <w:pPr>
              <w:pStyle w:val="616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6"/>
            </w:pPr>
            <w: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  <w:r/>
          </w:p>
          <w:p>
            <w:pPr>
              <w:pStyle w:val="616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  <w:r/>
          </w:p>
          <w:p>
            <w:pPr>
              <w:pStyle w:val="616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6"/>
            </w:pPr>
            <w:r>
              <w:t xml:space="preserve">По результатам проведения торгов оператором электронной площадки </w:t>
            </w:r>
            <w: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6"/>
            </w:pPr>
            <w: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  <w:r/>
          </w:p>
          <w:p>
            <w:pPr>
              <w:pStyle w:val="616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  <w:r/>
          </w:p>
          <w:p>
            <w:pPr>
              <w:pStyle w:val="616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</w:t>
            </w:r>
            <w:r>
              <w:t xml:space="preserve">торгов вследствие оставления конкурсным кредитором предмета залога за собой, при отсутствии заявок на участие в торгах.</w:t>
            </w:r>
            <w:r/>
            <w:r/>
          </w:p>
          <w:p>
            <w:pPr>
              <w:pStyle w:val="616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  <w:r/>
          </w:p>
          <w:p>
            <w:pPr>
              <w:pStyle w:val="616"/>
            </w:pPr>
            <w: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  <w:r/>
          </w:p>
          <w:p>
            <w:pPr>
              <w:pStyle w:val="616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</w:tc>
      </w:tr>
    </w:tbl>
    <w:p>
      <w:pPr>
        <w:pStyle w:val="616"/>
      </w:pPr>
      <w:r/>
      <w:r/>
    </w:p>
    <w:p>
      <w:pPr>
        <w:pStyle w:val="616"/>
        <w:jc w:val="both"/>
      </w:pPr>
      <w:r/>
      <w:r/>
    </w:p>
    <w:p>
      <w:pPr>
        <w:pStyle w:val="616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3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  <w:p>
            <w:pPr>
              <w:pStyle w:val="616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Костромина Дениса Олеговича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616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2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16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617">
    <w:name w:val="Основной шрифт абзаца"/>
    <w:next w:val="617"/>
    <w:link w:val="616"/>
    <w:uiPriority w:val="1"/>
    <w:semiHidden/>
    <w:unhideWhenUsed/>
  </w:style>
  <w:style w:type="table" w:styleId="618">
    <w:name w:val="Обычная таблица"/>
    <w:next w:val="618"/>
    <w:link w:val="616"/>
    <w:uiPriority w:val="99"/>
    <w:semiHidden/>
    <w:unhideWhenUsed/>
    <w:tblPr/>
  </w:style>
  <w:style w:type="numbering" w:styleId="619">
    <w:name w:val="Нет списка"/>
    <w:next w:val="619"/>
    <w:link w:val="616"/>
    <w:uiPriority w:val="99"/>
    <w:semiHidden/>
    <w:unhideWhenUsed/>
  </w:style>
  <w:style w:type="paragraph" w:styleId="620">
    <w:name w:val="Обычный1"/>
    <w:next w:val="620"/>
    <w:link w:val="616"/>
    <w:rPr>
      <w:rFonts w:ascii="Times New Roman" w:hAnsi="Times New Roman" w:eastAsia="Times New Roman"/>
      <w:lang w:val="ru-RU" w:eastAsia="ru-RU" w:bidi="ar-SA"/>
    </w:rPr>
  </w:style>
  <w:style w:type="table" w:styleId="621">
    <w:name w:val="Сетка таблицы"/>
    <w:basedOn w:val="618"/>
    <w:next w:val="621"/>
    <w:link w:val="616"/>
    <w:uiPriority w:val="59"/>
    <w:pPr>
      <w:spacing w:after="0" w:line="240" w:lineRule="auto"/>
    </w:pPr>
    <w:tblPr/>
  </w:style>
  <w:style w:type="character" w:styleId="622">
    <w:name w:val="Гиперссылка"/>
    <w:next w:val="622"/>
    <w:link w:val="616"/>
    <w:uiPriority w:val="99"/>
    <w:unhideWhenUsed/>
    <w:rPr>
      <w:color w:val="0000ff"/>
      <w:u w:val="single"/>
    </w:rPr>
  </w:style>
  <w:style w:type="paragraph" w:styleId="623">
    <w:name w:val="ConsPlusNonformat"/>
    <w:next w:val="623"/>
    <w:link w:val="616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24">
    <w:name w:val="Обычный (веб)"/>
    <w:basedOn w:val="616"/>
    <w:next w:val="624"/>
    <w:link w:val="616"/>
    <w:pPr>
      <w:spacing w:before="240" w:after="240"/>
      <w:widowControl/>
    </w:pPr>
    <w:rPr>
      <w:sz w:val="24"/>
      <w:szCs w:val="24"/>
    </w:rPr>
  </w:style>
  <w:style w:type="character" w:styleId="1989" w:default="1">
    <w:name w:val="Default Paragraph Font"/>
    <w:uiPriority w:val="1"/>
    <w:semiHidden/>
    <w:unhideWhenUsed/>
  </w:style>
  <w:style w:type="numbering" w:styleId="1990" w:default="1">
    <w:name w:val="No List"/>
    <w:uiPriority w:val="99"/>
    <w:semiHidden/>
    <w:unhideWhenUsed/>
  </w:style>
  <w:style w:type="table" w:styleId="199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3</cp:revision>
  <dcterms:created xsi:type="dcterms:W3CDTF">2025-12-15T09:57:00Z</dcterms:created>
  <dcterms:modified xsi:type="dcterms:W3CDTF">2025-12-19T16:07:19Z</dcterms:modified>
  <cp:version>1048576</cp:version>
</cp:coreProperties>
</file>