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Выбиванцев Игор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ь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Николаевич (19.09.1980 года рождения, место рождения: г. Армавир, паспорт: 0310 558989, выдан Отделом УФМС по Краснодарскому краю в городе Армавире, дата выдачи 16.06.2010, код подразделения 230-015, адрес регистрации: Краснодарский край, г. Краснодар, ул. Рахманинова С.В., д. 23, кв. 42, ИНН: 230205908782, СНИЛС: 026-541-867 54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Краснодарского края от «13» октября 2025 года по делу № А32-44347/2025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 w:cs="Times New Roman"/>
          <w:bCs/>
          <w:sz w:val="24"/>
        </w:rPr>
        <w:t>Выбиванцев Игор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ь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Николаевич</w:t>
      </w:r>
      <w:r>
        <w:rPr>
          <w:rFonts w:ascii="Times New Roman" w:hAnsi="Times New Roman" w:eastAsia="Times New Roman" w:cs="Times New Roman"/>
          <w:color w:val="000000"/>
          <w:sz w:val="24"/>
        </w:rPr>
        <w:t>, ФИЛИАЛ "ЦЕНТРАЛЬНЫЙ" ПАО "СОВКОМБАНК" БИК 045004763 Корр/счет 30101810150040000763, расчетный счет 40817810050206471673.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E9E70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Выбиванцев Игор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Николаевич (19.09.1980 года рождения, место рождения: г. Армавир, паспорт: 0310 558989, выдан Отделом УФМС по Краснодарскому краю в городе Армавире, дата выдачи 16.06.2010, код подразделения 230-015, адрес регистрации: Краснодарский край, г. Краснодар, ул. Рахманинова С.В., д. 23, кв. 42, ИНН: 230205908782, СНИЛС: 026-541-867 54</w:t>
            </w:r>
          </w:p>
          <w:p w14:paraId="44AF23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33F605D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Выбиванцев Игор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ФИЛИАЛ "ЦЕНТРАЛЬНЫЙ" ПАО "СОВКОМБАНК" БИК 045004763 Корр/счет 30101810150040000763, расчетный счет 40817810050206471673.</w:t>
            </w:r>
          </w:p>
          <w:p w14:paraId="46AACC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C3BB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Выбиванцев Игор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ь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Николаевич (19.09.1980 года рождения, место рождения: г. Армавир, паспорт: 0310 558989, выдан Отделом УФМС по Краснодарскому краю в городе Армавире, дата выдачи 16.06.2010, код подразделения 230-015, адрес регистрации: Краснодарский край, г. Краснодар, ул. Рахманинова С.В., д. 23, кв. 42, ИНН: 230205908782, СНИЛС: 026-541-867 54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Краснодарского края от «13» октября 2025 года по делу № А32-44347/2025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D64AF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Выбиванцев Игор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Николаевич (19.09.1980 года рождения, место рождения: г. Армавир, паспорт: 0310 558989, выдан Отделом УФМС по Краснодарскому краю в городе Армавире, дата выдачи 16.06.2010, код подразделения 230-015, адрес регистрации: Краснодарский край, г. Краснодар, ул. Рахманинова С.В., д. 23, кв. 42, ИНН: 230205908782, СНИЛС: 026-541-867 54</w:t>
            </w:r>
          </w:p>
          <w:p w14:paraId="219C31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79E2C2D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Выбиванцев Игор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ФИЛИАЛ "ЦЕНТРАЛЬНЫЙ" ПАО "СОВКОМБАНК" БИК 045004763 Корр/счет 30101810150040000763, расчетный счет 40817810050206471673.</w:t>
            </w:r>
          </w:p>
          <w:bookmarkEnd w:id="0"/>
          <w:p w14:paraId="69402810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130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699</Words>
  <Characters>5243</Characters>
  <Lines>43</Lines>
  <Paragraphs>12</Paragraphs>
  <TotalTime>14</TotalTime>
  <ScaleCrop>false</ScaleCrop>
  <LinksUpToDate>false</LinksUpToDate>
  <CharactersWithSpaces>6054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2026-05-03T22:31:53Z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FEC70C4C09504F50AA1C6236C4A3D625_13</vt:lpwstr>
  </property>
</Properties>
</file>